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line="360" w:lineRule="auto"/>
        <w:jc w:val="center"/>
        <w:rPr>
          <w:sz w:val="36"/>
          <w:szCs w:val="36"/>
          <w:lang w:val="ru-RU"/>
        </w:rPr>
      </w:pPr>
      <w:r>
        <w:rPr>
          <w:rFonts w:hint="eastAsia"/>
          <w:sz w:val="36"/>
          <w:szCs w:val="36"/>
          <w:lang w:val="ru-RU"/>
        </w:rPr>
        <w:t>中国钢结构协会钢结构防腐蚀涂料</w:t>
      </w:r>
    </w:p>
    <w:p>
      <w:pPr>
        <w:tabs>
          <w:tab w:val="left" w:pos="426"/>
        </w:tabs>
        <w:spacing w:line="360" w:lineRule="auto"/>
        <w:jc w:val="center"/>
        <w:rPr>
          <w:sz w:val="36"/>
          <w:szCs w:val="36"/>
          <w:lang w:val="ru-RU"/>
        </w:rPr>
      </w:pPr>
      <w:r>
        <w:rPr>
          <w:rFonts w:hint="eastAsia"/>
          <w:sz w:val="36"/>
          <w:szCs w:val="36"/>
          <w:lang w:val="ru-RU"/>
        </w:rPr>
        <w:t>产品认证质量评价标准</w:t>
      </w:r>
    </w:p>
    <w:p>
      <w:pPr>
        <w:tabs>
          <w:tab w:val="left" w:pos="426"/>
        </w:tabs>
        <w:spacing w:line="360" w:lineRule="auto"/>
        <w:jc w:val="center"/>
        <w:rPr>
          <w:sz w:val="36"/>
          <w:szCs w:val="36"/>
          <w:lang w:val="ru-RU"/>
        </w:rPr>
      </w:pPr>
    </w:p>
    <w:p>
      <w:pPr>
        <w:tabs>
          <w:tab w:val="left" w:pos="426"/>
        </w:tabs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>1  总则</w:t>
      </w:r>
    </w:p>
    <w:p>
      <w:pPr>
        <w:spacing w:line="360" w:lineRule="auto"/>
        <w:jc w:val="left"/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 xml:space="preserve">    本标准根据中国钢结构协会钢结构防腐蚀涂料产品认证需求，制订了产品质量评价标准，根据钢结构防腐涂装要求，规定防腐蚀涂料必需达到的主要技术指标，以及为此而规定的测试方法、检验规则。</w:t>
      </w:r>
    </w:p>
    <w:p>
      <w:pPr>
        <w:spacing w:line="360" w:lineRule="auto"/>
        <w:jc w:val="left"/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>2  制定原则</w:t>
      </w:r>
    </w:p>
    <w:p>
      <w:pPr>
        <w:spacing w:line="360" w:lineRule="auto"/>
        <w:jc w:val="left"/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 xml:space="preserve">    对常用的钢结构防腐蚀涂料产品，优先采用国家标准、行业标准、地方标准、团体标准；如无上述标准可采用的单一生产企业产品，确有优异产品性能及工程使用业绩的，亦可采用企业标准；较多生产企业产品，确有优异产品性能及工程使用业绩的，经协商，亦可采用行业内平均之上标准。</w:t>
      </w:r>
    </w:p>
    <w:p>
      <w:pPr>
        <w:spacing w:line="360" w:lineRule="auto"/>
        <w:jc w:val="left"/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>3   产品测试方法、检验规则的确立</w:t>
      </w:r>
    </w:p>
    <w:p>
      <w:pPr>
        <w:spacing w:line="360" w:lineRule="auto"/>
        <w:jc w:val="left"/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>3.1  防腐蚀涂料产品的技术指标</w:t>
      </w:r>
    </w:p>
    <w:p>
      <w:pPr>
        <w:spacing w:line="360" w:lineRule="auto"/>
        <w:jc w:val="left"/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 xml:space="preserve">    钢结构防腐蚀涂料产品体系的测试方法需符合</w:t>
      </w:r>
      <w:r>
        <w:rPr>
          <w:rFonts w:hint="eastAsia"/>
          <w:sz w:val="24"/>
          <w:szCs w:val="24"/>
        </w:rPr>
        <w:t>GBT 30790.6-2014</w:t>
      </w:r>
      <w:r>
        <w:rPr>
          <w:rFonts w:hint="eastAsia"/>
          <w:sz w:val="24"/>
          <w:szCs w:val="24"/>
          <w:lang w:val="ru-RU"/>
        </w:rPr>
        <w:t>《</w:t>
      </w:r>
      <w:r>
        <w:rPr>
          <w:rFonts w:hint="eastAsia"/>
          <w:sz w:val="24"/>
          <w:szCs w:val="24"/>
        </w:rPr>
        <w:t>色漆和清漆 防护涂料体系对钢结构的防腐蚀保护 第6部分 实验室性能测试方法》。</w:t>
      </w:r>
    </w:p>
    <w:p>
      <w:pPr>
        <w:tabs>
          <w:tab w:val="left" w:pos="567"/>
        </w:tabs>
        <w:spacing w:line="360" w:lineRule="auto"/>
        <w:jc w:val="left"/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 xml:space="preserve">    钢结构防腐蚀涂料产品的技术指标</w:t>
      </w:r>
      <w:r>
        <w:rPr>
          <w:rFonts w:hint="eastAsia"/>
          <w:sz w:val="24"/>
          <w:szCs w:val="24"/>
        </w:rPr>
        <w:t>测试</w:t>
      </w:r>
      <w:r>
        <w:rPr>
          <w:rFonts w:hint="eastAsia"/>
          <w:sz w:val="24"/>
          <w:szCs w:val="24"/>
          <w:lang w:val="ru-RU"/>
        </w:rPr>
        <w:t>方法、检验规则，优先采用国家标准、行业标准、地方标准、团体标准；如采用上述标准以外的试验方法、检验规则，则在技术指标后，写明具体测试方法或检验规则。</w:t>
      </w:r>
    </w:p>
    <w:p>
      <w:pPr>
        <w:spacing w:line="360" w:lineRule="auto"/>
        <w:jc w:val="left"/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>3.2  防腐蚀涂料产品有害物质限量</w:t>
      </w:r>
    </w:p>
    <w:p>
      <w:pPr>
        <w:tabs>
          <w:tab w:val="left" w:pos="567"/>
        </w:tabs>
        <w:spacing w:line="360" w:lineRule="auto"/>
        <w:jc w:val="left"/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 xml:space="preserve">    钢结构防腐蚀涂料产品的有害物质限量为强制性标准，按</w:t>
      </w:r>
      <w:r>
        <w:rPr>
          <w:rFonts w:hint="eastAsia"/>
          <w:sz w:val="24"/>
          <w:szCs w:val="24"/>
        </w:rPr>
        <w:t>GB 30981-2020</w:t>
      </w:r>
      <w:r>
        <w:rPr>
          <w:rFonts w:hint="eastAsia"/>
          <w:sz w:val="24"/>
          <w:szCs w:val="24"/>
          <w:lang w:val="ru-RU"/>
        </w:rPr>
        <w:t>《</w:t>
      </w:r>
      <w:r>
        <w:rPr>
          <w:rFonts w:hint="eastAsia"/>
          <w:sz w:val="24"/>
          <w:szCs w:val="24"/>
        </w:rPr>
        <w:t>工业防护涂料中有害物质限量》执行。</w:t>
      </w:r>
    </w:p>
    <w:p>
      <w:pPr>
        <w:autoSpaceDE w:val="0"/>
        <w:autoSpaceDN w:val="0"/>
        <w:spacing w:line="360" w:lineRule="auto"/>
        <w:jc w:val="left"/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>4   产品质量评价标准内容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本评价标准分两部分：第一部分钢结构防腐蚀涂料认证标准；第二部分钢结构防腐蚀涂料测试方法。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   本标准由</w:t>
      </w:r>
      <w:r>
        <w:rPr>
          <w:rFonts w:hint="eastAsia"/>
          <w:sz w:val="24"/>
          <w:szCs w:val="24"/>
        </w:rPr>
        <w:t>中国钢结构协会《钢结构防腐蚀涂料产品认证评价</w:t>
      </w:r>
      <w:bookmarkStart w:id="4" w:name="_GoBack"/>
      <w:bookmarkEnd w:id="4"/>
      <w:r>
        <w:rPr>
          <w:rFonts w:hint="eastAsia"/>
          <w:sz w:val="24"/>
          <w:szCs w:val="24"/>
          <w:lang w:eastAsia="zh-CN"/>
        </w:rPr>
        <w:t>专家组</w:t>
      </w:r>
      <w:r>
        <w:rPr>
          <w:rFonts w:hint="eastAsia"/>
          <w:sz w:val="24"/>
          <w:szCs w:val="24"/>
        </w:rPr>
        <w:t>》制订，经中国钢结构协会批准执行。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 xml:space="preserve">第一部分  </w:t>
      </w:r>
      <w:r>
        <w:rPr>
          <w:rFonts w:hint="eastAsia" w:ascii="宋体" w:hAnsi="宋体"/>
          <w:sz w:val="36"/>
          <w:szCs w:val="36"/>
        </w:rPr>
        <w:t>钢结构防腐蚀涂料认证标准</w:t>
      </w: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表1  认证钢结构防腐蚀涂料产品目录</w:t>
      </w: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24"/>
          <w:szCs w:val="24"/>
        </w:rPr>
      </w:pP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602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602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认证防腐蚀涂料名称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6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20" w:type="dxa"/>
            <w:vAlign w:val="center"/>
          </w:tcPr>
          <w:p>
            <w:pPr>
              <w:autoSpaceDE/>
              <w:autoSpaceDN/>
              <w:spacing w:line="360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GB/T 25264-2010 </w:t>
            </w:r>
            <w:r>
              <w:rPr>
                <w:rFonts w:hint="eastAsia"/>
                <w:sz w:val="24"/>
                <w:szCs w:val="24"/>
              </w:rPr>
              <w:t>溶剂型丙烯酸树脂涂料</w:t>
            </w:r>
          </w:p>
        </w:tc>
        <w:tc>
          <w:tcPr>
            <w:tcW w:w="1559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6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20" w:type="dxa"/>
            <w:vAlign w:val="center"/>
          </w:tcPr>
          <w:p>
            <w:pPr>
              <w:autoSpaceDE/>
              <w:autoSpaceDN/>
              <w:spacing w:line="360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HG/T 2454-2014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溶剂型聚氨酯涂料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双组分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6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020" w:type="dxa"/>
            <w:vAlign w:val="center"/>
          </w:tcPr>
          <w:p>
            <w:pPr>
              <w:autoSpaceDE/>
              <w:autoSpaceDN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HG/T 3668-2020 </w:t>
            </w:r>
            <w:r>
              <w:rPr>
                <w:rFonts w:hint="eastAsia"/>
                <w:sz w:val="24"/>
                <w:szCs w:val="24"/>
              </w:rPr>
              <w:t>富锌底漆</w:t>
            </w:r>
          </w:p>
        </w:tc>
        <w:tc>
          <w:tcPr>
            <w:tcW w:w="1559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6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020" w:type="dxa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HG/T 3792-2014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交联型氟树脂涂料</w:t>
            </w:r>
          </w:p>
        </w:tc>
        <w:tc>
          <w:tcPr>
            <w:tcW w:w="1559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6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020" w:type="dxa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HG/T 4340-2012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环氧云铁中间漆</w:t>
            </w:r>
          </w:p>
        </w:tc>
        <w:tc>
          <w:tcPr>
            <w:tcW w:w="1559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6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020" w:type="dxa"/>
            <w:vAlign w:val="center"/>
          </w:tcPr>
          <w:p>
            <w:pPr>
              <w:autoSpaceDE/>
              <w:autoSpaceDN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HG/T 4755-2014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）聚硅氧烷涂料</w:t>
            </w:r>
          </w:p>
        </w:tc>
        <w:tc>
          <w:tcPr>
            <w:tcW w:w="1559" w:type="dxa"/>
          </w:tcPr>
          <w:p>
            <w:pPr>
              <w:widowControl w:val="0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6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020" w:type="dxa"/>
            <w:vAlign w:val="center"/>
          </w:tcPr>
          <w:p>
            <w:pPr>
              <w:autoSpaceDE/>
              <w:autoSpaceDN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HG/T 4758-2014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水性丙烯酸树脂涂料</w:t>
            </w:r>
          </w:p>
        </w:tc>
        <w:tc>
          <w:tcPr>
            <w:tcW w:w="1559" w:type="dxa"/>
          </w:tcPr>
          <w:p>
            <w:pPr>
              <w:widowControl w:val="0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6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020" w:type="dxa"/>
            <w:vAlign w:val="center"/>
          </w:tcPr>
          <w:p>
            <w:pPr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HG/T 4759-2014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水性环氧树脂防腐涂料</w:t>
            </w:r>
          </w:p>
        </w:tc>
        <w:tc>
          <w:tcPr>
            <w:tcW w:w="1559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6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6020" w:type="dxa"/>
            <w:vAlign w:val="center"/>
          </w:tcPr>
          <w:p>
            <w:pPr>
              <w:autoSpaceDE/>
              <w:autoSpaceDN/>
              <w:spacing w:line="360" w:lineRule="auto"/>
              <w:jc w:val="lef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HG/T 4761-2014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水性聚氨酯涂料</w:t>
            </w:r>
          </w:p>
        </w:tc>
        <w:tc>
          <w:tcPr>
            <w:tcW w:w="1559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6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0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312" w:beforeLines="-2147483648" w:after="312" w:afterLines="-2147483648" w:line="360" w:lineRule="auto"/>
              <w:jc w:val="left"/>
              <w:outlineLvl w:val="9"/>
              <w:rPr>
                <w:rFonts w:ascii="Calibri" w:hAnsi="Calibr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HG/T 4844-2015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低锌底漆</w:t>
            </w:r>
          </w:p>
        </w:tc>
        <w:tc>
          <w:tcPr>
            <w:tcW w:w="1559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6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6020" w:type="dxa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HG/T 4845-2015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）冷涂锌涂料</w:t>
            </w:r>
          </w:p>
        </w:tc>
        <w:tc>
          <w:tcPr>
            <w:tcW w:w="1559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6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6020" w:type="dxa"/>
            <w:vAlign w:val="center"/>
          </w:tcPr>
          <w:p>
            <w:pPr>
              <w:autoSpaceDE/>
              <w:autoSpaceDN/>
              <w:spacing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HG/T 5176-2017 </w:t>
            </w:r>
            <w:r>
              <w:rPr>
                <w:rFonts w:hint="eastAsia"/>
                <w:sz w:val="24"/>
                <w:szCs w:val="24"/>
              </w:rPr>
              <w:t>钢结构用水性防腐涂料</w:t>
            </w:r>
            <w:r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6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6020" w:type="dxa"/>
            <w:vAlign w:val="center"/>
          </w:tcPr>
          <w:p>
            <w:pPr>
              <w:autoSpaceDE/>
              <w:autoSpaceDN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HG/T 5177-2017</w:t>
            </w:r>
            <w:r>
              <w:rPr>
                <w:rFonts w:hint="eastAsia"/>
                <w:sz w:val="24"/>
                <w:szCs w:val="24"/>
              </w:rPr>
              <w:t>无溶剂防腐涂料</w:t>
            </w:r>
          </w:p>
        </w:tc>
        <w:tc>
          <w:tcPr>
            <w:tcW w:w="1559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6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6020" w:type="dxa"/>
            <w:vAlign w:val="center"/>
          </w:tcPr>
          <w:p>
            <w:pPr>
              <w:autoSpaceDE/>
              <w:autoSpaceDN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HG/T 5368-2018 </w:t>
            </w:r>
            <w:r>
              <w:rPr>
                <w:rFonts w:hint="eastAsia"/>
                <w:sz w:val="24"/>
                <w:szCs w:val="24"/>
              </w:rPr>
              <w:t>聚天门冬氨酸酯防腐涂料</w:t>
            </w:r>
          </w:p>
        </w:tc>
        <w:tc>
          <w:tcPr>
            <w:tcW w:w="1559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176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6020" w:type="dxa"/>
            <w:vAlign w:val="center"/>
          </w:tcPr>
          <w:p>
            <w:pPr>
              <w:autoSpaceDE/>
              <w:autoSpaceDN/>
              <w:spacing w:before="312" w:beforeLines="-2147483648" w:after="312" w:afterLines="-2147483648" w:line="360" w:lineRule="auto"/>
              <w:jc w:val="left"/>
              <w:outlineLvl w:val="9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Q/LL018-2011 </w:t>
            </w:r>
            <w:r>
              <w:rPr>
                <w:rFonts w:hint="eastAsia"/>
                <w:sz w:val="24"/>
                <w:szCs w:val="24"/>
              </w:rPr>
              <w:t>聚氯乙烯含氟萤丹涂料</w:t>
            </w:r>
          </w:p>
        </w:tc>
        <w:tc>
          <w:tcPr>
            <w:tcW w:w="1559" w:type="dxa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55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a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该标准适用于水性环氧、水性醇酸、水性丙烯酸、水性聚氨酯、水性氟树脂等水性防腐涂料的底漆、中间漆、面漆产品。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1.1 溶剂型丙烯酸树脂涂料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.1</w:t>
      </w:r>
      <w:r>
        <w:rPr>
          <w:rFonts w:hint="eastAsia" w:ascii="宋体" w:hAnsi="宋体"/>
          <w:sz w:val="24"/>
          <w:szCs w:val="24"/>
        </w:rPr>
        <w:t xml:space="preserve"> 溶剂型丙烯酸树脂涂料采用标准G</w:t>
      </w:r>
      <w:r>
        <w:rPr>
          <w:rFonts w:ascii="宋体" w:hAnsi="宋体"/>
          <w:sz w:val="24"/>
          <w:szCs w:val="24"/>
        </w:rPr>
        <w:t>B/T 25264</w:t>
      </w:r>
      <w:r>
        <w:rPr>
          <w:rFonts w:hint="eastAsia" w:ascii="宋体" w:hAnsi="宋体"/>
          <w:sz w:val="24"/>
          <w:szCs w:val="24"/>
        </w:rPr>
        <w:t>-2010《溶剂型丙烯酸树脂涂料》。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1.1.2 溶剂型丙烯酸树脂涂料技术要求:</w:t>
      </w:r>
    </w:p>
    <w:p>
      <w:pPr>
        <w:spacing w:after="20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表1  溶剂型丙烯酸树脂涂料</w:t>
      </w:r>
      <w:r>
        <w:rPr>
          <w:rFonts w:hint="eastAsia" w:cs="宋体" w:asciiTheme="minorEastAsia" w:hAnsiTheme="minorEastAsia" w:eastAsiaTheme="minorEastAsia"/>
        </w:rPr>
        <w:t>I</w:t>
      </w:r>
      <w:r>
        <w:rPr>
          <w:rFonts w:hint="eastAsia" w:asciiTheme="minorEastAsia" w:hAnsiTheme="minorEastAsia" w:eastAsiaTheme="minorEastAsia"/>
        </w:rPr>
        <w:t>型技术要求</w:t>
      </w:r>
    </w:p>
    <w:tbl>
      <w:tblPr>
        <w:tblStyle w:val="8"/>
        <w:tblW w:w="776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268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943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项    目</w:t>
            </w:r>
          </w:p>
        </w:tc>
        <w:tc>
          <w:tcPr>
            <w:tcW w:w="4820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要    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943" w:type="dxa"/>
            <w:vMerge w:val="continue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4820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A类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943" w:type="dxa"/>
            <w:vMerge w:val="continue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清漆</w:t>
            </w:r>
          </w:p>
        </w:tc>
        <w:tc>
          <w:tcPr>
            <w:tcW w:w="2552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色漆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在容器中状态</w:t>
            </w:r>
          </w:p>
        </w:tc>
        <w:tc>
          <w:tcPr>
            <w:tcW w:w="4820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搅拌混合后无硬块，呈均匀状态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原漆颜色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perscript"/>
              </w:rPr>
              <w:t>a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/号          ≤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（铁钴比色剂）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细度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perscript"/>
              </w:rPr>
              <w:t>b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/μm             ≤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光泽（60°）≥80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光泽（60°）＜80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遮盖力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perscript"/>
              </w:rPr>
              <w:t>c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/(g/m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  <w:vertAlign w:val="superscript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)        ≤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白色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其他色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留出时间/s            ≥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(ISO6号杯)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943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不挥发物含量/%        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943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干燥时间              ≤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表干/min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实干/h</w:t>
            </w:r>
          </w:p>
        </w:tc>
        <w:tc>
          <w:tcPr>
            <w:tcW w:w="4820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943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漆膜外观</w:t>
            </w:r>
          </w:p>
        </w:tc>
        <w:tc>
          <w:tcPr>
            <w:tcW w:w="4820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正常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弯曲试验/mm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光泽（60°）≥80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光泽（60°）＜80</w:t>
            </w:r>
          </w:p>
        </w:tc>
        <w:tc>
          <w:tcPr>
            <w:tcW w:w="4820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划格试验/级           ≤</w:t>
            </w:r>
          </w:p>
        </w:tc>
        <w:tc>
          <w:tcPr>
            <w:tcW w:w="4820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铅笔硬度（擦伤）      ≥</w:t>
            </w:r>
          </w:p>
        </w:tc>
        <w:tc>
          <w:tcPr>
            <w:tcW w:w="4820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HB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光泽（60°）/单位值</w:t>
            </w:r>
          </w:p>
        </w:tc>
        <w:tc>
          <w:tcPr>
            <w:tcW w:w="4820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耐汽油性[符合SH 0004—1990（1998）的溶剂油，1h]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spacing w:before="312" w:after="312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不发软，不发粘，不起泡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耐水性（8h）</w:t>
            </w:r>
          </w:p>
        </w:tc>
        <w:tc>
          <w:tcPr>
            <w:tcW w:w="4820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不起泡，不脱落，允许轻微变色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耐热性  [(90±2）℃，3h]</w:t>
            </w:r>
          </w:p>
        </w:tc>
        <w:tc>
          <w:tcPr>
            <w:tcW w:w="4820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不鼓泡，不起皱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    a  不透明液体除外。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    b  含效应颜料，如珠光粉、铝粉等的产品除外。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    c  含有透明颜料的产品除外。</w:t>
            </w:r>
          </w:p>
        </w:tc>
      </w:tr>
    </w:tbl>
    <w:p/>
    <w:p/>
    <w:p/>
    <w:p/>
    <w:p>
      <w:pPr>
        <w:spacing w:after="200"/>
        <w:jc w:val="center"/>
        <w:rPr>
          <w:rFonts w:ascii="宋体" w:hAnsi="宋体" w:cs="宋体"/>
        </w:rPr>
      </w:pPr>
      <w:r>
        <w:rPr>
          <w:rFonts w:hint="eastAsia" w:asciiTheme="minorEastAsia" w:hAnsiTheme="minorEastAsia" w:eastAsiaTheme="minorEastAsia"/>
        </w:rPr>
        <w:t xml:space="preserve">表2 </w:t>
      </w:r>
      <w:r>
        <w:rPr>
          <w:rFonts w:hint="eastAsia" w:ascii="宋体" w:hAnsi="宋体" w:cs="宋体"/>
        </w:rPr>
        <w:t>溶剂型丙烯酸树脂涂料II型技术要求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42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839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项    目</w:t>
            </w:r>
          </w:p>
        </w:tc>
        <w:tc>
          <w:tcPr>
            <w:tcW w:w="5683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要    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39" w:type="dxa"/>
            <w:vMerge w:val="continue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84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清漆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色漆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83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在容器中状态</w:t>
            </w:r>
          </w:p>
        </w:tc>
        <w:tc>
          <w:tcPr>
            <w:tcW w:w="5683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搅拌混合后无硬块，呈均匀状态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原漆颜色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perscript"/>
              </w:rPr>
              <w:t>a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/号           ≤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（铁钴比色计）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细度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perscript"/>
              </w:rPr>
              <w:t>b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/μm             ≤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光泽（60°）≥80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光泽（60°）＜80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遮盖力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perscript"/>
              </w:rPr>
              <w:t>c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/(g/m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  <w:vertAlign w:val="superscript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)         ≤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白色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其他色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83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留出时间/s            ≥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(ISO6号杯)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83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不挥发物含量%         ≥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干燥时间/h            ≤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（实干）</w:t>
            </w:r>
          </w:p>
        </w:tc>
        <w:tc>
          <w:tcPr>
            <w:tcW w:w="5683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通过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83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漆膜外观</w:t>
            </w:r>
          </w:p>
        </w:tc>
        <w:tc>
          <w:tcPr>
            <w:tcW w:w="5683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正常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6" w:hRule="atLeast"/>
        </w:trPr>
        <w:tc>
          <w:tcPr>
            <w:tcW w:w="283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弯曲试验/mm</w:t>
            </w:r>
          </w:p>
        </w:tc>
        <w:tc>
          <w:tcPr>
            <w:tcW w:w="5683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6" w:hRule="atLeast"/>
        </w:trPr>
        <w:tc>
          <w:tcPr>
            <w:tcW w:w="283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划格试验/级           ≤</w:t>
            </w:r>
          </w:p>
        </w:tc>
        <w:tc>
          <w:tcPr>
            <w:tcW w:w="5683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3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耐冲击性/cm</w:t>
            </w:r>
          </w:p>
        </w:tc>
        <w:tc>
          <w:tcPr>
            <w:tcW w:w="568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3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铅笔硬度（擦伤）       ≥</w:t>
            </w:r>
          </w:p>
        </w:tc>
        <w:tc>
          <w:tcPr>
            <w:tcW w:w="5683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56" w:hRule="atLeast"/>
        </w:trPr>
        <w:tc>
          <w:tcPr>
            <w:tcW w:w="283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光泽（60°）/单位值</w:t>
            </w:r>
          </w:p>
        </w:tc>
        <w:tc>
          <w:tcPr>
            <w:tcW w:w="5683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耐汽油性[符合SH 0004—1990（1998）的溶剂油，3h]</w:t>
            </w:r>
          </w:p>
        </w:tc>
        <w:tc>
          <w:tcPr>
            <w:tcW w:w="568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不发软，不发粘，不起泡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83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耐水性（8h）</w:t>
            </w:r>
          </w:p>
        </w:tc>
        <w:tc>
          <w:tcPr>
            <w:tcW w:w="5683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不起泡，不脱落，允许轻微变色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09" w:hRule="atLeast"/>
        </w:trPr>
        <w:tc>
          <w:tcPr>
            <w:tcW w:w="8522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    a  不透明液体除外。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    b  含效应颜料，如珠光粉、铝粉等的产品除外。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    c  含有透明颜料的产品除外。</w:t>
            </w:r>
          </w:p>
        </w:tc>
      </w:tr>
    </w:tbl>
    <w:p/>
    <w:p/>
    <w:p/>
    <w:p/>
    <w:p/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1.2 溶剂型聚氨酯涂料(双组分)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1.2.1 溶剂型聚氨酯涂料(双组分)采用标准HG/T 2454-2014（2017）《溶剂型聚氨酯涂料(双组分)》。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1.2.2 溶剂型聚氨酯涂料(双组分）技术要求:</w:t>
      </w:r>
    </w:p>
    <w:p>
      <w:pPr>
        <w:spacing w:before="120" w:after="120"/>
        <w:jc w:val="center"/>
      </w:pPr>
      <w:r>
        <w:rPr>
          <w:rFonts w:hint="eastAsia"/>
        </w:rPr>
        <w:t>表3</w:t>
      </w:r>
      <w:r>
        <w:t xml:space="preserve"> </w:t>
      </w:r>
      <w:r>
        <w:rPr>
          <w:rFonts w:hint="eastAsia"/>
        </w:rPr>
        <w:t>溶剂型聚氨酯涂料</w:t>
      </w:r>
      <w:r>
        <w:t>(</w:t>
      </w:r>
      <w:r>
        <w:rPr>
          <w:rFonts w:hint="eastAsia"/>
        </w:rPr>
        <w:t>双组分）技术要求</w:t>
      </w:r>
    </w:p>
    <w:tbl>
      <w:tblPr>
        <w:tblStyle w:val="7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47"/>
        <w:gridCol w:w="7"/>
        <w:gridCol w:w="1510"/>
        <w:gridCol w:w="1701"/>
        <w:gridCol w:w="2126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blHeader/>
          <w:jc w:val="center"/>
        </w:trPr>
        <w:tc>
          <w:tcPr>
            <w:tcW w:w="340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     目</w:t>
            </w:r>
          </w:p>
        </w:tc>
        <w:tc>
          <w:tcPr>
            <w:tcW w:w="612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指      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  <w:tblHeader/>
          <w:jc w:val="center"/>
        </w:trPr>
        <w:tc>
          <w:tcPr>
            <w:tcW w:w="3403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内用面漆</w:t>
            </w:r>
          </w:p>
        </w:tc>
        <w:tc>
          <w:tcPr>
            <w:tcW w:w="44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外用面漆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  <w:tblHeader/>
          <w:jc w:val="center"/>
        </w:trPr>
        <w:tc>
          <w:tcPr>
            <w:tcW w:w="3403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1类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  <w:jc w:val="center"/>
        </w:trPr>
        <w:tc>
          <w:tcPr>
            <w:tcW w:w="340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在容器中状态</w:t>
            </w:r>
          </w:p>
        </w:tc>
        <w:tc>
          <w:tcPr>
            <w:tcW w:w="612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搅拌后均匀无硬块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0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细度/</w:t>
            </w:r>
            <w:r>
              <w:rPr>
                <w:rFonts w:hint="eastAsia" w:ascii="Times New Roman" w:hAnsi="Times New Roman" w:eastAsiaTheme="minorEastAsia"/>
                <w:szCs w:val="21"/>
              </w:rPr>
              <w:t>μ度</w:t>
            </w:r>
            <w:r>
              <w:rPr>
                <w:rFonts w:ascii="Times New Roman" w:hAnsi="Times New Roman" w:eastAsiaTheme="minorEastAsia"/>
                <w:szCs w:val="21"/>
              </w:rPr>
              <w:t>/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(含铝粉、珠光等颜料的涂料除外)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≤40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≤40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86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不挥发物含量/%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(含铝粉、珠光颜料的涂料除外)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白色和浅色</w:t>
            </w:r>
            <w:r>
              <w:rPr>
                <w:rFonts w:hint="eastAsia" w:asciiTheme="minorEastAsia" w:hAnsiTheme="minorEastAsia" w:eastAsiaTheme="minorEastAsia"/>
                <w:szCs w:val="21"/>
                <w:vertAlign w:val="superscript"/>
              </w:rPr>
              <w:t>a</w:t>
            </w:r>
          </w:p>
        </w:tc>
        <w:tc>
          <w:tcPr>
            <w:tcW w:w="612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886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清漆和其它色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≥40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≥40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893" w:type="dxa"/>
            <w:gridSpan w:val="3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干燥时间/h    </w:t>
            </w:r>
          </w:p>
        </w:tc>
        <w:tc>
          <w:tcPr>
            <w:tcW w:w="151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表干</w:t>
            </w:r>
          </w:p>
        </w:tc>
        <w:tc>
          <w:tcPr>
            <w:tcW w:w="612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189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实干</w:t>
            </w:r>
          </w:p>
        </w:tc>
        <w:tc>
          <w:tcPr>
            <w:tcW w:w="612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340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涂膜外观</w:t>
            </w:r>
          </w:p>
        </w:tc>
        <w:tc>
          <w:tcPr>
            <w:tcW w:w="612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340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光泽(60°) /单位值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商定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340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铅笔硬度(擦伤)                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≥F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≥F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340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耐冲击性/cm                                             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≥40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≥40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340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弯曲试验/mm                                 </w:t>
            </w:r>
          </w:p>
        </w:tc>
        <w:tc>
          <w:tcPr>
            <w:tcW w:w="612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340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划格试验/级                    </w:t>
            </w:r>
          </w:p>
        </w:tc>
        <w:tc>
          <w:tcPr>
            <w:tcW w:w="612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340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附着力（拉开法）/MPa            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——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≥4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340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耐酸性(50</w:t>
            </w:r>
            <w:r>
              <w:rPr>
                <w:rFonts w:asciiTheme="minorEastAsia" w:hAnsiTheme="minorEastAsia" w:eastAsiaTheme="minorEastAsia"/>
                <w:szCs w:val="21"/>
              </w:rPr>
              <w:t>g/L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H</w:t>
            </w:r>
            <w:r>
              <w:rPr>
                <w:rFonts w:hint="eastAsia" w:asciiTheme="minorEastAsia" w:hAnsiTheme="minorEastAsia" w:eastAsiaTheme="minorEastAsia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SO</w:t>
            </w:r>
            <w:r>
              <w:rPr>
                <w:rFonts w:hint="eastAsia" w:asciiTheme="minorEastAsia" w:hAnsiTheme="minorEastAsia" w:eastAsiaTheme="minorEastAsia"/>
                <w:szCs w:val="21"/>
                <w:vertAlign w:val="subscript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48h无异常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48h无异常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168h无异常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340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耐碱性(20</w:t>
            </w:r>
            <w:r>
              <w:rPr>
                <w:rFonts w:asciiTheme="minorEastAsia" w:hAnsiTheme="minorEastAsia" w:eastAsiaTheme="minorEastAsia"/>
                <w:szCs w:val="21"/>
              </w:rPr>
              <w:t>g/L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NaOH)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48h无异常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48h无异常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168h无异常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340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耐盐雾性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144h不起泡、不生锈、不脱落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500h不起泡、不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生锈、不脱落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1000h不起泡、不生锈、不脱落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173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耐人工气候老化性 </w:t>
            </w:r>
          </w:p>
        </w:tc>
        <w:tc>
          <w:tcPr>
            <w:tcW w:w="16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白色和浅色</w:t>
            </w:r>
            <w:r>
              <w:rPr>
                <w:rFonts w:hint="eastAsia" w:asciiTheme="minorEastAsia" w:hAnsiTheme="minorEastAsia" w:eastAsiaTheme="minorEastAsia"/>
                <w:szCs w:val="21"/>
                <w:vertAlign w:val="superscript"/>
              </w:rPr>
              <w:t xml:space="preserve">a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粉化/级 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变色/级 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失光</w:t>
            </w:r>
            <w:r>
              <w:rPr>
                <w:rFonts w:hint="eastAsia" w:asciiTheme="minorEastAsia" w:hAnsiTheme="minorEastAsia" w:eastAsiaTheme="minorEastAsia"/>
                <w:szCs w:val="21"/>
                <w:vertAlign w:val="superscript"/>
              </w:rPr>
              <w:t>b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/级 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——</w:t>
            </w: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500h不起泡、不生锈、不开裂、不脱落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≤1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≤2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≤2</w:t>
            </w:r>
          </w:p>
        </w:tc>
        <w:tc>
          <w:tcPr>
            <w:tcW w:w="229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1000h不起泡、不生锈、不开裂、不脱落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≤1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≤2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17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其它色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粉化/级     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变色/级     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失光</w:t>
            </w:r>
            <w:r>
              <w:rPr>
                <w:rFonts w:hint="eastAsia" w:asciiTheme="minorEastAsia" w:hAnsiTheme="minorEastAsia" w:eastAsiaTheme="minorEastAsia"/>
                <w:szCs w:val="21"/>
                <w:vertAlign w:val="superscript"/>
              </w:rPr>
              <w:t>b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/级     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——</w:t>
            </w: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500h不起泡、不生锈、不开裂、不脱落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≤2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商定</w:t>
            </w:r>
          </w:p>
        </w:tc>
        <w:tc>
          <w:tcPr>
            <w:tcW w:w="229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1000h不起泡、不生锈、不开裂、不脱落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≤2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商定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9524" w:type="dxa"/>
            <w:gridSpan w:val="7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420"/>
              </w:tabs>
              <w:rPr>
                <w:rFonts w:asciiTheme="minorEastAsia" w:hAnsiTheme="minorEastAsia" w:eastAsiaTheme="minorEastAsia"/>
                <w:spacing w:val="-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1"/>
                <w:szCs w:val="21"/>
                <w:vertAlign w:val="superscript"/>
              </w:rPr>
              <w:t>a</w:t>
            </w:r>
            <w:r>
              <w:rPr>
                <w:rFonts w:hint="eastAsia" w:asciiTheme="minorEastAsia" w:hAnsiTheme="minorEastAsia" w:eastAsiaTheme="minorEastAsia"/>
                <w:spacing w:val="-4"/>
                <w:sz w:val="21"/>
                <w:szCs w:val="21"/>
              </w:rPr>
              <w:t>浅色是指以白色涂料为主要成分，添加适量色浆后配制成的浅色涂料形成的涂膜所呈现的浅颜色，按GB/T 15608中规定明度值为6到9之间(三刺激值中的Y</w:t>
            </w:r>
            <w:r>
              <w:rPr>
                <w:rFonts w:hint="eastAsia" w:asciiTheme="minorEastAsia" w:hAnsiTheme="minorEastAsia" w:eastAsiaTheme="minorEastAsia"/>
                <w:spacing w:val="-4"/>
                <w:sz w:val="21"/>
                <w:szCs w:val="21"/>
                <w:vertAlign w:val="subscript"/>
              </w:rPr>
              <w:t>D65</w:t>
            </w:r>
            <w:r>
              <w:rPr>
                <w:rFonts w:hint="eastAsia" w:asciiTheme="minorEastAsia" w:hAnsiTheme="minorEastAsia" w:eastAsiaTheme="minorEastAsia"/>
                <w:spacing w:val="-4"/>
                <w:sz w:val="21"/>
                <w:szCs w:val="21"/>
              </w:rPr>
              <w:t>≥31.26)。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vertAlign w:val="superscript"/>
              </w:rPr>
              <w:t>b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试板的原始光泽≤30单位值时，不进行失光评定。</w:t>
            </w:r>
          </w:p>
        </w:tc>
      </w:tr>
    </w:tbl>
    <w:p/>
    <w:p>
      <w:pPr>
        <w:jc w:val="center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1.3富锌底漆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1.3.1 富锌底漆采用标准HG/T 3668-2020《富锌底漆》。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1.3.2 富锌底漆技术要求：</w:t>
      </w:r>
    </w:p>
    <w:p>
      <w:pPr>
        <w:autoSpaceDE w:val="0"/>
        <w:autoSpaceDN w:val="0"/>
        <w:spacing w:line="360" w:lineRule="auto"/>
        <w:ind w:left="210" w:leftChars="10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表4 无机富锌底漆的技术要求</w:t>
      </w:r>
    </w:p>
    <w:tbl>
      <w:tblPr>
        <w:tblStyle w:val="7"/>
        <w:tblW w:w="8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360"/>
        <w:gridCol w:w="913"/>
        <w:gridCol w:w="914"/>
        <w:gridCol w:w="914"/>
        <w:gridCol w:w="914"/>
        <w:gridCol w:w="914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4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2"/>
              </w:numPr>
              <w:spacing w:beforeLines="100" w:afterLines="100" w:line="400" w:lineRule="exact"/>
              <w:jc w:val="center"/>
              <w:outlineLvl w:val="1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</w:t>
            </w:r>
          </w:p>
        </w:tc>
        <w:tc>
          <w:tcPr>
            <w:tcW w:w="5483" w:type="dxa"/>
            <w:gridSpan w:val="6"/>
            <w:vAlign w:val="center"/>
          </w:tcPr>
          <w:p>
            <w:pPr>
              <w:numPr>
                <w:ilvl w:val="0"/>
                <w:numId w:val="2"/>
              </w:numPr>
              <w:spacing w:beforeLines="100" w:afterLines="100" w:line="400" w:lineRule="exact"/>
              <w:jc w:val="center"/>
              <w:outlineLvl w:val="1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93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溶剂型无机富锌底漆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水性无机富锌底漆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934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1类</w:t>
            </w: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2类</w:t>
            </w: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3类</w:t>
            </w: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1类</w:t>
            </w: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2类</w:t>
            </w: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3类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74" w:type="dxa"/>
            <w:vMerge w:val="restar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在容器中状态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粉料</w:t>
            </w:r>
          </w:p>
        </w:tc>
        <w:tc>
          <w:tcPr>
            <w:tcW w:w="54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呈均匀粉末状态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74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液料</w:t>
            </w:r>
          </w:p>
        </w:tc>
        <w:tc>
          <w:tcPr>
            <w:tcW w:w="54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搅拌后无硬块，呈均匀状态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冻融稳定性（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3次循环）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—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不变质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不挥发物含量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/%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≥</w:t>
            </w:r>
          </w:p>
        </w:tc>
        <w:tc>
          <w:tcPr>
            <w:tcW w:w="54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密度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/（g/mL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）</w:t>
            </w:r>
          </w:p>
        </w:tc>
        <w:tc>
          <w:tcPr>
            <w:tcW w:w="54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商定值±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ind w:left="2520" w:hanging="2520" w:hangingChars="12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不挥发物中金属锌含量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/%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≥</w:t>
            </w:r>
          </w:p>
        </w:tc>
        <w:tc>
          <w:tcPr>
            <w:tcW w:w="9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80</w:t>
            </w: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70</w:t>
            </w: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60</w:t>
            </w: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80</w:t>
            </w: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70</w:t>
            </w: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适用期（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5h或商定）                      </w:t>
            </w:r>
          </w:p>
        </w:tc>
        <w:tc>
          <w:tcPr>
            <w:tcW w:w="54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施工性能</w:t>
            </w:r>
          </w:p>
        </w:tc>
        <w:tc>
          <w:tcPr>
            <w:tcW w:w="54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施涂无障碍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涂膜外观</w:t>
            </w:r>
          </w:p>
        </w:tc>
        <w:tc>
          <w:tcPr>
            <w:tcW w:w="54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闪锈抑制性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—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4" w:type="dxa"/>
            <w:vMerge w:val="restar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干燥时间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/h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表干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≤</w:t>
            </w:r>
          </w:p>
        </w:tc>
        <w:tc>
          <w:tcPr>
            <w:tcW w:w="54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74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实干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≤</w:t>
            </w:r>
          </w:p>
        </w:tc>
        <w:tc>
          <w:tcPr>
            <w:tcW w:w="54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早期耐水性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—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无异常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附着力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/MPa        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≥</w:t>
            </w:r>
          </w:p>
        </w:tc>
        <w:tc>
          <w:tcPr>
            <w:tcW w:w="54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934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耐盐雾性</w:t>
            </w:r>
          </w:p>
        </w:tc>
        <w:tc>
          <w:tcPr>
            <w:tcW w:w="91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1000h</w:t>
            </w: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800h</w:t>
            </w: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500h</w:t>
            </w: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1000h</w:t>
            </w: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800h</w:t>
            </w:r>
          </w:p>
        </w:tc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500h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934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4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划痕处单向腐蚀蔓延≤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2.0mm；未划痕区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不起泡、不生锈、不开裂、不剥落</w:t>
            </w:r>
          </w:p>
        </w:tc>
      </w:tr>
    </w:tbl>
    <w:p>
      <w:pPr>
        <w:autoSpaceDE w:val="0"/>
        <w:autoSpaceDN w:val="0"/>
        <w:spacing w:line="360" w:lineRule="auto"/>
        <w:ind w:left="210" w:leftChars="100"/>
        <w:jc w:val="center"/>
        <w:rPr>
          <w:rFonts w:ascii="宋体" w:hAnsi="宋体"/>
          <w:szCs w:val="21"/>
        </w:rPr>
      </w:pPr>
    </w:p>
    <w:p>
      <w:pPr>
        <w:autoSpaceDE w:val="0"/>
        <w:autoSpaceDN w:val="0"/>
        <w:spacing w:line="360" w:lineRule="auto"/>
        <w:ind w:left="210" w:leftChars="100"/>
        <w:jc w:val="center"/>
        <w:rPr>
          <w:rFonts w:ascii="宋体" w:hAnsi="宋体"/>
          <w:szCs w:val="21"/>
        </w:rPr>
      </w:pPr>
    </w:p>
    <w:p>
      <w:pPr>
        <w:autoSpaceDE w:val="0"/>
        <w:autoSpaceDN w:val="0"/>
        <w:spacing w:line="360" w:lineRule="auto"/>
        <w:ind w:left="210" w:leftChars="100"/>
        <w:jc w:val="center"/>
        <w:rPr>
          <w:rFonts w:ascii="宋体" w:hAnsi="宋体"/>
          <w:szCs w:val="21"/>
        </w:rPr>
      </w:pPr>
    </w:p>
    <w:p>
      <w:pPr>
        <w:autoSpaceDE w:val="0"/>
        <w:autoSpaceDN w:val="0"/>
        <w:spacing w:line="360" w:lineRule="auto"/>
        <w:ind w:left="210" w:leftChars="100"/>
        <w:jc w:val="center"/>
        <w:rPr>
          <w:rFonts w:ascii="宋体" w:hAnsi="宋体"/>
          <w:szCs w:val="21"/>
        </w:rPr>
      </w:pPr>
    </w:p>
    <w:p>
      <w:pPr>
        <w:autoSpaceDE w:val="0"/>
        <w:autoSpaceDN w:val="0"/>
        <w:spacing w:line="360" w:lineRule="auto"/>
        <w:ind w:left="210" w:leftChars="10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表5 有机富锌底漆的技术要求</w:t>
      </w:r>
    </w:p>
    <w:tbl>
      <w:tblPr>
        <w:tblStyle w:val="7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417"/>
        <w:gridCol w:w="1418"/>
        <w:gridCol w:w="708"/>
        <w:gridCol w:w="40"/>
        <w:gridCol w:w="748"/>
        <w:gridCol w:w="1480"/>
        <w:gridCol w:w="709"/>
        <w:gridCol w:w="8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94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目</w:t>
            </w:r>
          </w:p>
        </w:tc>
        <w:tc>
          <w:tcPr>
            <w:tcW w:w="582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294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溶剂型有机富锌底漆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水性有机富锌底漆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" w:hRule="atLeast"/>
          <w:tblHeader/>
          <w:jc w:val="center"/>
        </w:trPr>
        <w:tc>
          <w:tcPr>
            <w:tcW w:w="294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1类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2类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3类</w:t>
            </w:r>
          </w:p>
        </w:tc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1类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2类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在容器中状态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粉料</w:t>
            </w:r>
          </w:p>
        </w:tc>
        <w:tc>
          <w:tcPr>
            <w:tcW w:w="582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呈均匀粉末状态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液料</w:t>
            </w:r>
          </w:p>
        </w:tc>
        <w:tc>
          <w:tcPr>
            <w:tcW w:w="582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搅拌后无硬块，呈均匀状态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94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冻融稳定性（</w:t>
            </w:r>
            <w:r>
              <w:rPr>
                <w:rFonts w:ascii="宋体" w:hAnsi="宋体"/>
                <w:sz w:val="21"/>
                <w:szCs w:val="21"/>
              </w:rPr>
              <w:t>3次循环）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—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不变质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4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不挥发物含量</w:t>
            </w:r>
            <w:r>
              <w:rPr>
                <w:rFonts w:ascii="宋体" w:hAnsi="宋体"/>
                <w:sz w:val="21"/>
                <w:szCs w:val="21"/>
              </w:rPr>
              <w:t xml:space="preserve">/%         </w:t>
            </w:r>
            <w:r>
              <w:rPr>
                <w:rFonts w:hint="eastAsia" w:ascii="宋体" w:hAnsi="宋体"/>
                <w:sz w:val="21"/>
                <w:szCs w:val="21"/>
              </w:rPr>
              <w:t>≥</w:t>
            </w:r>
          </w:p>
        </w:tc>
        <w:tc>
          <w:tcPr>
            <w:tcW w:w="582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94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密度</w:t>
            </w:r>
            <w:r>
              <w:rPr>
                <w:rFonts w:ascii="宋体" w:hAnsi="宋体"/>
                <w:sz w:val="21"/>
                <w:szCs w:val="21"/>
              </w:rPr>
              <w:t>/（g/mL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</w:tc>
        <w:tc>
          <w:tcPr>
            <w:tcW w:w="582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商定值±</w:t>
            </w:r>
            <w:r>
              <w:rPr>
                <w:rFonts w:ascii="宋体" w:hAnsi="宋体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6" w:type="dxa"/>
            <w:gridSpan w:val="2"/>
            <w:vAlign w:val="center"/>
          </w:tcPr>
          <w:p>
            <w:pPr>
              <w:spacing w:line="400" w:lineRule="exact"/>
              <w:ind w:left="2415" w:hanging="2415" w:hangingChars="11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不挥发物中金属锌含量</w:t>
            </w:r>
            <w:r>
              <w:rPr>
                <w:rFonts w:ascii="宋体" w:hAnsi="宋体"/>
                <w:sz w:val="21"/>
                <w:szCs w:val="21"/>
              </w:rPr>
              <w:t>/%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≥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80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70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60</w:t>
            </w:r>
          </w:p>
        </w:tc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80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70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适用期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   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5h或商定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通过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2h或商定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—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tabs>
                <w:tab w:val="left" w:pos="2193"/>
              </w:tabs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4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施工性能</w:t>
            </w:r>
          </w:p>
        </w:tc>
        <w:tc>
          <w:tcPr>
            <w:tcW w:w="582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施涂无障碍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涂膜外观</w:t>
            </w:r>
          </w:p>
        </w:tc>
        <w:tc>
          <w:tcPr>
            <w:tcW w:w="582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闪锈抑制性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—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干燥时间</w:t>
            </w:r>
            <w:r>
              <w:rPr>
                <w:rFonts w:ascii="宋体" w:hAnsi="宋体"/>
                <w:sz w:val="21"/>
                <w:szCs w:val="21"/>
              </w:rPr>
              <w:t>/h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表干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≤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实干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≤</w:t>
            </w:r>
          </w:p>
        </w:tc>
        <w:tc>
          <w:tcPr>
            <w:tcW w:w="582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94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耐冲击性（正冲）</w:t>
            </w:r>
            <w:r>
              <w:rPr>
                <w:rFonts w:ascii="宋体" w:hAnsi="宋体"/>
                <w:sz w:val="21"/>
                <w:szCs w:val="21"/>
              </w:rPr>
              <w:t>/cm</w:t>
            </w:r>
          </w:p>
        </w:tc>
        <w:tc>
          <w:tcPr>
            <w:tcW w:w="582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早期耐水性</w:t>
            </w:r>
          </w:p>
        </w:tc>
        <w:tc>
          <w:tcPr>
            <w:tcW w:w="29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—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无异常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94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附着力</w:t>
            </w:r>
            <w:r>
              <w:rPr>
                <w:rFonts w:ascii="宋体" w:hAnsi="宋体"/>
                <w:sz w:val="21"/>
                <w:szCs w:val="21"/>
              </w:rPr>
              <w:t xml:space="preserve">/MPa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≥</w:t>
            </w:r>
          </w:p>
        </w:tc>
        <w:tc>
          <w:tcPr>
            <w:tcW w:w="582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946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耐盐雾性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600h</w:t>
            </w:r>
          </w:p>
        </w:tc>
        <w:tc>
          <w:tcPr>
            <w:tcW w:w="7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400h</w:t>
            </w:r>
          </w:p>
        </w:tc>
        <w:tc>
          <w:tcPr>
            <w:tcW w:w="7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200h</w:t>
            </w:r>
          </w:p>
        </w:tc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600h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400h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94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划痕处单向腐蚀蔓延≤</w:t>
            </w:r>
            <w:r>
              <w:rPr>
                <w:rFonts w:ascii="宋体" w:hAnsi="宋体"/>
                <w:sz w:val="21"/>
                <w:szCs w:val="21"/>
              </w:rPr>
              <w:t>2.0mm；未</w:t>
            </w:r>
            <w:r>
              <w:rPr>
                <w:rFonts w:hint="eastAsia" w:ascii="宋体" w:hAnsi="宋体"/>
                <w:sz w:val="21"/>
                <w:szCs w:val="21"/>
              </w:rPr>
              <w:t>划痕区不生锈、不开裂、不剥落，允许起泡</w:t>
            </w:r>
            <w:r>
              <w:rPr>
                <w:rFonts w:ascii="宋体" w:hAnsi="宋体"/>
                <w:sz w:val="21"/>
                <w:szCs w:val="21"/>
              </w:rPr>
              <w:t>1（S3）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划痕处单向腐蚀蔓延≤</w:t>
            </w:r>
            <w:r>
              <w:rPr>
                <w:rFonts w:ascii="宋体" w:hAnsi="宋体"/>
                <w:sz w:val="21"/>
                <w:szCs w:val="21"/>
              </w:rPr>
              <w:t>2.0mm；未划痕区</w:t>
            </w:r>
            <w:r>
              <w:rPr>
                <w:rFonts w:hint="eastAsia" w:ascii="宋体" w:hAnsi="宋体"/>
                <w:sz w:val="21"/>
                <w:szCs w:val="21"/>
              </w:rPr>
              <w:t>不起泡、不生锈、不开裂、不剥落</w:t>
            </w:r>
          </w:p>
        </w:tc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划痕处单向腐蚀蔓延≤</w:t>
            </w:r>
            <w:r>
              <w:rPr>
                <w:rFonts w:ascii="宋体" w:hAnsi="宋体"/>
                <w:sz w:val="21"/>
                <w:szCs w:val="21"/>
              </w:rPr>
              <w:t>2.0mm；未</w:t>
            </w:r>
            <w:r>
              <w:rPr>
                <w:rFonts w:hint="eastAsia" w:ascii="宋体" w:hAnsi="宋体"/>
                <w:sz w:val="21"/>
                <w:szCs w:val="21"/>
              </w:rPr>
              <w:t>划痕区不生锈、不开裂、不剥落，允许起泡</w:t>
            </w:r>
            <w:r>
              <w:rPr>
                <w:rFonts w:ascii="宋体" w:hAnsi="宋体"/>
                <w:sz w:val="21"/>
                <w:szCs w:val="21"/>
              </w:rPr>
              <w:t>1（S3）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划痕处单向腐蚀蔓延≤</w:t>
            </w:r>
            <w:r>
              <w:rPr>
                <w:rFonts w:ascii="宋体" w:hAnsi="宋体"/>
                <w:sz w:val="21"/>
                <w:szCs w:val="21"/>
              </w:rPr>
              <w:t>2.0mm；未划痕区</w:t>
            </w:r>
            <w:r>
              <w:rPr>
                <w:rFonts w:hint="eastAsia" w:ascii="宋体" w:hAnsi="宋体"/>
                <w:sz w:val="21"/>
                <w:szCs w:val="21"/>
              </w:rPr>
              <w:t>不起泡、不生锈、不开裂、不剥落</w:t>
            </w:r>
          </w:p>
        </w:tc>
      </w:tr>
    </w:tbl>
    <w:p>
      <w:pPr>
        <w:autoSpaceDE w:val="0"/>
        <w:autoSpaceDN w:val="0"/>
        <w:spacing w:line="360" w:lineRule="auto"/>
        <w:jc w:val="both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both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center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1.4 </w:t>
      </w:r>
      <w:r>
        <w:rPr>
          <w:rFonts w:hint="eastAsia"/>
          <w:sz w:val="32"/>
          <w:szCs w:val="32"/>
        </w:rPr>
        <w:t>交联型氟树脂涂料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1.10.1 </w:t>
      </w:r>
      <w:r>
        <w:rPr>
          <w:rFonts w:hint="eastAsia"/>
          <w:sz w:val="24"/>
          <w:szCs w:val="24"/>
        </w:rPr>
        <w:t>交联型氟树脂涂料</w:t>
      </w:r>
      <w:r>
        <w:rPr>
          <w:rFonts w:hint="eastAsia" w:ascii="宋体" w:hAnsi="宋体"/>
          <w:sz w:val="24"/>
          <w:szCs w:val="24"/>
        </w:rPr>
        <w:t>采用</w:t>
      </w:r>
      <w:r>
        <w:rPr>
          <w:rFonts w:hint="eastAsia"/>
          <w:sz w:val="24"/>
          <w:szCs w:val="24"/>
        </w:rPr>
        <w:t>标准</w:t>
      </w:r>
      <w:r>
        <w:rPr>
          <w:rFonts w:hint="eastAsia" w:ascii="宋体" w:hAnsi="宋体"/>
          <w:sz w:val="24"/>
          <w:szCs w:val="24"/>
        </w:rPr>
        <w:t>HG/T 3792-2014（2017）《交联型氟树脂涂料》。</w:t>
      </w:r>
    </w:p>
    <w:p>
      <w:pPr>
        <w:autoSpaceDE w:val="0"/>
        <w:autoSpaceDN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1.10.2 </w:t>
      </w:r>
      <w:r>
        <w:rPr>
          <w:rFonts w:hint="eastAsia"/>
          <w:sz w:val="24"/>
          <w:szCs w:val="24"/>
        </w:rPr>
        <w:t>交联型氟树脂涂料</w:t>
      </w:r>
      <w:r>
        <w:rPr>
          <w:rFonts w:hint="eastAsia" w:ascii="宋体" w:hAnsi="宋体"/>
          <w:sz w:val="24"/>
          <w:szCs w:val="24"/>
        </w:rPr>
        <w:t>技术要求</w:t>
      </w:r>
      <w:r>
        <w:rPr>
          <w:rFonts w:hint="eastAsia"/>
          <w:sz w:val="24"/>
          <w:szCs w:val="24"/>
        </w:rPr>
        <w:t>：</w:t>
      </w:r>
    </w:p>
    <w:p>
      <w:pPr>
        <w:pStyle w:val="12"/>
        <w:spacing w:before="156" w:after="156"/>
        <w:rPr>
          <w:rFonts w:asciiTheme="minorEastAsia" w:hAnsiTheme="minorEastAsia" w:eastAsiaTheme="minorEastAsia"/>
          <w:kern w:val="2"/>
          <w:szCs w:val="21"/>
        </w:rPr>
      </w:pPr>
      <w:r>
        <w:rPr>
          <w:rFonts w:hint="eastAsia" w:asciiTheme="minorEastAsia" w:hAnsiTheme="minorEastAsia" w:eastAsiaTheme="minorEastAsia"/>
          <w:kern w:val="2"/>
          <w:szCs w:val="21"/>
        </w:rPr>
        <w:t>表6 交联型氟树脂涂料的技术要求</w:t>
      </w:r>
    </w:p>
    <w:tbl>
      <w:tblPr>
        <w:tblStyle w:val="7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552"/>
        <w:gridCol w:w="5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tblHeader/>
          <w:jc w:val="center"/>
        </w:trPr>
        <w:tc>
          <w:tcPr>
            <w:tcW w:w="43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项     目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指      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4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在容器中状态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搅拌后均匀无硬块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34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细度/μm                           ≤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（含铝粉、珠光颜料的涂料除外）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93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不挥发物含量/%       (含铝粉、珠光颜料的涂料除外）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白色和浅色</w:t>
            </w:r>
            <w:r>
              <w:rPr>
                <w:rFonts w:asciiTheme="minorEastAsia" w:hAnsiTheme="minorEastAsia" w:eastAsiaTheme="minorEastAsia"/>
                <w:sz w:val="18"/>
                <w:szCs w:val="18"/>
                <w:vertAlign w:val="superscript"/>
              </w:rPr>
              <w:t>a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vertAlign w:val="superscript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清漆和其它色   ≥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3" w:hRule="atLeast"/>
          <w:jc w:val="center"/>
        </w:trPr>
        <w:tc>
          <w:tcPr>
            <w:tcW w:w="1793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基料中氟含量/%       </w:t>
            </w:r>
          </w:p>
        </w:tc>
        <w:tc>
          <w:tcPr>
            <w:tcW w:w="2552" w:type="dxa"/>
            <w:vAlign w:val="center"/>
          </w:tcPr>
          <w:p>
            <w:pPr>
              <w:ind w:left="15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双组分         ≥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单组分         ≥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793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干燥时间/h           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表干(自干漆)   ≤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实干(自干漆)   ≤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烘干(烘烤型漆)[(140±2)℃或温度商定]       ≤ </w:t>
            </w:r>
          </w:p>
        </w:tc>
        <w:tc>
          <w:tcPr>
            <w:tcW w:w="5001" w:type="dxa"/>
            <w:vAlign w:val="center"/>
          </w:tcPr>
          <w:p>
            <w:pPr>
              <w:ind w:left="312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0.5或商定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6" w:hRule="atLeast"/>
          <w:jc w:val="center"/>
        </w:trPr>
        <w:tc>
          <w:tcPr>
            <w:tcW w:w="1793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遮盖率（烘干型、清漆、含铝粉和珠光颜料的涂料除外）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白色和浅色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a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≥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其它色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434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涂膜外观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34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光泽(60°) /单位值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34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铅笔硬度(擦伤)                      ≥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34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耐冲击性/cm                                 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" w:hRule="atLeast"/>
          <w:jc w:val="center"/>
        </w:trPr>
        <w:tc>
          <w:tcPr>
            <w:tcW w:w="434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划格试验/级      （单组份）        ≤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" w:hRule="atLeast"/>
          <w:jc w:val="center"/>
        </w:trPr>
        <w:tc>
          <w:tcPr>
            <w:tcW w:w="434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附着力（拉开法）/MPa   (双组分)    ≥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434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弯曲试验/mm                                 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34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耐酸性(50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g/L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H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SO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vertAlign w:val="subscript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) 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168h无异常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34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耐碱性(50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g/L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NaOH)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168h无异常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34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耐湿冷热循环性(10次)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无异常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34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耐湿热性(1000h)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不起泡、不生锈、不脱落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434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耐盐雾性(1000h)</w:t>
            </w:r>
          </w:p>
        </w:tc>
        <w:tc>
          <w:tcPr>
            <w:tcW w:w="50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不起泡、不生锈、不脱落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93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耐人工气候老化性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vertAlign w:val="superscript"/>
              </w:rPr>
              <w:t>b、c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(3000h)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白色</w:t>
            </w:r>
            <w:r>
              <w:rPr>
                <w:rFonts w:asciiTheme="minorEastAsia" w:hAnsiTheme="minorEastAsia" w:eastAsiaTheme="minorEastAsia"/>
                <w:sz w:val="18"/>
                <w:szCs w:val="18"/>
                <w:vertAlign w:val="superscript"/>
              </w:rPr>
              <w:t xml:space="preserve">       </w:t>
            </w:r>
          </w:p>
        </w:tc>
        <w:tc>
          <w:tcPr>
            <w:tcW w:w="5001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不起泡、不脱落、不开裂，不粉化，ΔE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≤3.0，保光率≥80%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6" w:hRule="atLeas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其它色  </w:t>
            </w:r>
          </w:p>
        </w:tc>
        <w:tc>
          <w:tcPr>
            <w:tcW w:w="5001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不起泡、不脱落、不开裂，不粉化，ΔE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vertAlign w:val="superscript"/>
              </w:rPr>
              <w:t>*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≤6.0或商定，保光率≥50%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9346" w:type="dxa"/>
            <w:gridSpan w:val="3"/>
            <w:vAlign w:val="center"/>
          </w:tcPr>
          <w:p>
            <w:pPr>
              <w:ind w:left="430" w:leftChars="164" w:hanging="86" w:hangingChars="50"/>
              <w:rPr>
                <w:rFonts w:asciiTheme="minorEastAsia" w:hAnsiTheme="minorEastAsia" w:eastAsiaTheme="minorEastAsia"/>
                <w:spacing w:val="-4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pacing w:val="-4"/>
                <w:sz w:val="18"/>
                <w:szCs w:val="18"/>
                <w:vertAlign w:val="superscript"/>
              </w:rPr>
              <w:t>a</w:t>
            </w:r>
            <w:r>
              <w:rPr>
                <w:rFonts w:hint="eastAsia" w:asciiTheme="minorEastAsia" w:hAnsiTheme="minorEastAsia" w:eastAsiaTheme="minorEastAsia"/>
                <w:spacing w:val="-4"/>
                <w:sz w:val="18"/>
                <w:szCs w:val="18"/>
              </w:rPr>
              <w:t>浅色是指以白色涂料为主要成分，添加适量色浆后配制成的浅色涂料形成的涂膜所呈现的浅颜色，按GB/T 15608中规定明度值为6到9之间(三刺激值中的Y</w:t>
            </w:r>
            <w:r>
              <w:rPr>
                <w:rFonts w:hint="eastAsia" w:asciiTheme="minorEastAsia" w:hAnsiTheme="minorEastAsia" w:eastAsiaTheme="minorEastAsia"/>
                <w:spacing w:val="-4"/>
                <w:sz w:val="18"/>
                <w:szCs w:val="18"/>
                <w:vertAlign w:val="subscript"/>
              </w:rPr>
              <w:t>D65</w:t>
            </w:r>
            <w:r>
              <w:rPr>
                <w:rFonts w:hint="eastAsia" w:asciiTheme="minorEastAsia" w:hAnsiTheme="minorEastAsia" w:eastAsiaTheme="minorEastAsia"/>
                <w:spacing w:val="-4"/>
                <w:sz w:val="18"/>
                <w:szCs w:val="18"/>
              </w:rPr>
              <w:t>≥31</w:t>
            </w:r>
            <w:r>
              <w:rPr>
                <w:rFonts w:asciiTheme="minorEastAsia" w:hAnsiTheme="minorEastAsia" w:eastAsiaTheme="minorEastAsia"/>
                <w:spacing w:val="-4"/>
                <w:sz w:val="18"/>
                <w:szCs w:val="18"/>
              </w:rPr>
              <w:t>.26)</w:t>
            </w:r>
            <w:r>
              <w:rPr>
                <w:rFonts w:hint="eastAsia" w:asciiTheme="minorEastAsia" w:hAnsiTheme="minorEastAsia" w:eastAsiaTheme="minorEastAsia"/>
                <w:spacing w:val="-4"/>
                <w:sz w:val="18"/>
                <w:szCs w:val="18"/>
              </w:rPr>
              <w:t>。</w:t>
            </w:r>
          </w:p>
          <w:p>
            <w:pPr>
              <w:pStyle w:val="11"/>
              <w:numPr>
                <w:ilvl w:val="0"/>
                <w:numId w:val="0"/>
              </w:numPr>
              <w:ind w:left="453" w:leftChars="173" w:hanging="90" w:hanging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vertAlign w:val="superscript"/>
              </w:rPr>
              <w:t>b</w:t>
            </w:r>
            <w:r>
              <w:rPr>
                <w:rFonts w:hint="eastAsia" w:asciiTheme="minorEastAsia" w:hAnsiTheme="minorEastAsia" w:eastAsiaTheme="minorEastAsia"/>
              </w:rPr>
              <w:t>耐人工气候老化性和天然暴晒试验两者可选一种，鼓励进行更长时间的自然气候暴露试验。</w:t>
            </w:r>
          </w:p>
          <w:p>
            <w:pPr>
              <w:pStyle w:val="11"/>
              <w:numPr>
                <w:ilvl w:val="0"/>
                <w:numId w:val="0"/>
              </w:numPr>
              <w:ind w:left="453" w:leftChars="173" w:hanging="90" w:hanging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vertAlign w:val="superscript"/>
              </w:rPr>
              <w:t>c</w:t>
            </w:r>
            <w:r>
              <w:rPr>
                <w:rFonts w:hint="eastAsia" w:asciiTheme="minorEastAsia" w:hAnsiTheme="minorEastAsia" w:eastAsiaTheme="minorEastAsia"/>
              </w:rPr>
              <w:t>试板的原始光泽≤50单位值时，不进行保光率评定。</w:t>
            </w:r>
          </w:p>
        </w:tc>
      </w:tr>
    </w:tbl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1.5 环氧云铁中间漆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1.5.1 环氧云铁中间漆采用标准HG/T 4340-2012（2017）《</w:t>
      </w:r>
      <w:r>
        <w:rPr>
          <w:rFonts w:hint="eastAsia"/>
          <w:sz w:val="24"/>
          <w:szCs w:val="24"/>
        </w:rPr>
        <w:t>环氧云铁中间漆》。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1.5.2 环氧云铁中间漆技术要求：</w:t>
      </w:r>
    </w:p>
    <w:p>
      <w:pPr>
        <w:autoSpaceDE w:val="0"/>
        <w:autoSpaceDN w:val="0"/>
        <w:spacing w:line="360" w:lineRule="auto"/>
        <w:jc w:val="center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表7 环氧云铁中间漆的技术要求</w:t>
      </w:r>
    </w:p>
    <w:tbl>
      <w:tblPr>
        <w:tblStyle w:val="7"/>
        <w:tblW w:w="8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210"/>
        <w:gridCol w:w="4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3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</w:t>
            </w:r>
          </w:p>
        </w:tc>
        <w:tc>
          <w:tcPr>
            <w:tcW w:w="414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3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在容器中状态</w:t>
            </w:r>
          </w:p>
        </w:tc>
        <w:tc>
          <w:tcPr>
            <w:tcW w:w="414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搅拌混合后无硬块,呈均匀状态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3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不挥发物含量，%</w:t>
            </w:r>
          </w:p>
        </w:tc>
        <w:tc>
          <w:tcPr>
            <w:tcW w:w="414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3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流挂性,μm</w:t>
            </w:r>
          </w:p>
        </w:tc>
        <w:tc>
          <w:tcPr>
            <w:tcW w:w="414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3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适用期(5h)</w:t>
            </w:r>
          </w:p>
        </w:tc>
        <w:tc>
          <w:tcPr>
            <w:tcW w:w="414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3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贮存稳定性(沉降性),级</w:t>
            </w:r>
          </w:p>
        </w:tc>
        <w:tc>
          <w:tcPr>
            <w:tcW w:w="414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13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3210" w:type="dxa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干燥时间（表干）/h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（实干）/h</w:t>
            </w:r>
          </w:p>
        </w:tc>
        <w:tc>
          <w:tcPr>
            <w:tcW w:w="4147" w:type="dxa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≤3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3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弯曲试验,mm</w:t>
            </w:r>
          </w:p>
        </w:tc>
        <w:tc>
          <w:tcPr>
            <w:tcW w:w="414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3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耐冲击性，cm</w:t>
            </w:r>
          </w:p>
        </w:tc>
        <w:tc>
          <w:tcPr>
            <w:tcW w:w="414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3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附着力（拉开法），MPa</w:t>
            </w:r>
          </w:p>
        </w:tc>
        <w:tc>
          <w:tcPr>
            <w:tcW w:w="414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≥5</w:t>
            </w:r>
          </w:p>
        </w:tc>
      </w:tr>
    </w:tbl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both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1.6 </w:t>
      </w:r>
      <w:r>
        <w:rPr>
          <w:rFonts w:hint="eastAsia"/>
          <w:sz w:val="32"/>
          <w:szCs w:val="32"/>
        </w:rPr>
        <w:t>聚硅氧烷涂料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1.6.1</w:t>
      </w:r>
      <w:r>
        <w:rPr>
          <w:rFonts w:hint="eastAsia"/>
          <w:sz w:val="24"/>
          <w:szCs w:val="24"/>
        </w:rPr>
        <w:t>聚硅氧烷涂料</w:t>
      </w:r>
      <w:r>
        <w:rPr>
          <w:rFonts w:hint="eastAsia" w:ascii="宋体" w:hAnsi="宋体"/>
          <w:sz w:val="24"/>
          <w:szCs w:val="24"/>
        </w:rPr>
        <w:t>采用标准HG/T 4755-2014（2017）《聚硅氧烷涂料》。</w:t>
      </w:r>
    </w:p>
    <w:p>
      <w:pPr>
        <w:autoSpaceDE w:val="0"/>
        <w:autoSpaceDN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1.6.2</w:t>
      </w:r>
      <w:r>
        <w:rPr>
          <w:rFonts w:hint="eastAsia"/>
          <w:sz w:val="24"/>
          <w:szCs w:val="24"/>
        </w:rPr>
        <w:t>聚硅氧烷涂料</w:t>
      </w:r>
      <w:r>
        <w:rPr>
          <w:rFonts w:hint="eastAsia" w:ascii="宋体" w:hAnsi="宋体"/>
          <w:sz w:val="24"/>
          <w:szCs w:val="24"/>
        </w:rPr>
        <w:t>技术要求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表8 聚硅氧烷涂料的技术要求</w:t>
      </w:r>
    </w:p>
    <w:tbl>
      <w:tblPr>
        <w:tblStyle w:val="8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676"/>
        <w:gridCol w:w="1625"/>
        <w:gridCol w:w="43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443" w:type="dxa"/>
            <w:gridSpan w:val="3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项    目</w:t>
            </w:r>
          </w:p>
        </w:tc>
        <w:tc>
          <w:tcPr>
            <w:tcW w:w="4312" w:type="dxa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指    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3" w:type="dxa"/>
            <w:gridSpan w:val="3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在容器中状态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搅拌后均匀无硬块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443" w:type="dxa"/>
            <w:gridSpan w:val="3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细度/μm                              ≤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3" w:type="dxa"/>
            <w:gridSpan w:val="3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不挥发物含量%                         ≥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42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干燥时间/h      ≤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表干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42" w:type="dxa"/>
            <w:vMerge w:val="continue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实干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漆膜外观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正常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基料中硅氧键含量（全漆）/%             ≤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挥发性有机化合物（VOC)含量/(g/L)       ≤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818" w:type="dxa"/>
            <w:gridSpan w:val="2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重金属含量（mg ）       ≤</w:t>
            </w:r>
          </w:p>
        </w:tc>
        <w:tc>
          <w:tcPr>
            <w:tcW w:w="1625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铅（Pb）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818" w:type="dxa"/>
            <w:gridSpan w:val="2"/>
            <w:vMerge w:val="continue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25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镉（Cd）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818" w:type="dxa"/>
            <w:gridSpan w:val="2"/>
            <w:vMerge w:val="continue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25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6价铬（Cr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perscript"/>
              </w:rPr>
              <w:t>6+）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818" w:type="dxa"/>
            <w:gridSpan w:val="2"/>
            <w:vMerge w:val="continue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25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汞（Hg）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44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适用期/h(单组分除外)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光泽（60°） 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铅笔硬度（擦伤）       ≥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弯曲试验/mm           ≤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耐冲击性/cm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44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耐磨性（500g·500r)/g               ≤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44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附着力（拉开法）/M Pa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                                     ≥</w:t>
            </w:r>
          </w:p>
        </w:tc>
        <w:tc>
          <w:tcPr>
            <w:tcW w:w="431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44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耐酸性（50g/L H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SO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240 h无异常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44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耐碱性（50g/L NaOH)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240 h无异常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44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耐湿冷热循坏性（10次）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无异常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44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耐湿热性（3000h）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不起泡、不生锈、不脱落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44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耐盐雾性（3000h）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不起泡、不生锈、不脱落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18" w:type="dxa"/>
            <w:gridSpan w:val="2"/>
            <w:vMerge w:val="restart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耐人工气候老化性（3000h）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白色和浅色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变色≤2级，失光≤2级，粉化≤2级，不起泡、不脱落、不开裂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18" w:type="dxa"/>
            <w:gridSpan w:val="2"/>
            <w:vMerge w:val="continue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其他色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变色≤3级，失光≤3级，粉化≤2级，不起泡、不脱落、不开裂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4443" w:type="dxa"/>
            <w:gridSpan w:val="3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循坏老化试验（25次）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4312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粉化≤2级或商定，不起泡、不生锈、不脱落、不开裂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8755" w:type="dxa"/>
            <w:gridSpan w:val="4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1"/>
              </w:rPr>
              <w:t>a 选择该项目试验的产品，不需要再进行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耐湿热性、耐盐雾性、耐人工气候老化性试验。</w:t>
            </w:r>
          </w:p>
        </w:tc>
      </w:tr>
    </w:tbl>
    <w:p/>
    <w:p>
      <w:pPr>
        <w:autoSpaceDE w:val="0"/>
        <w:autoSpaceDN w:val="0"/>
        <w:spacing w:line="360" w:lineRule="auto"/>
        <w:jc w:val="center"/>
        <w:rPr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 xml:space="preserve">1.7 </w:t>
      </w:r>
      <w:r>
        <w:rPr>
          <w:rFonts w:hint="eastAsia"/>
          <w:sz w:val="32"/>
          <w:szCs w:val="32"/>
        </w:rPr>
        <w:t>水性丙烯酸树脂涂料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1.7.1 </w:t>
      </w:r>
      <w:r>
        <w:rPr>
          <w:rFonts w:hint="eastAsia"/>
          <w:sz w:val="24"/>
          <w:szCs w:val="24"/>
        </w:rPr>
        <w:t>水性丙烯酸树脂涂料</w:t>
      </w:r>
      <w:r>
        <w:rPr>
          <w:rFonts w:hint="eastAsia" w:ascii="宋体" w:hAnsi="宋体"/>
          <w:sz w:val="24"/>
          <w:szCs w:val="24"/>
        </w:rPr>
        <w:t>采用标准HG/T 4758-2014《</w:t>
      </w:r>
      <w:r>
        <w:rPr>
          <w:rFonts w:hint="eastAsia"/>
          <w:sz w:val="24"/>
          <w:szCs w:val="24"/>
        </w:rPr>
        <w:t>水性丙烯酸树脂涂料</w:t>
      </w:r>
      <w:r>
        <w:rPr>
          <w:rFonts w:hint="eastAsia" w:ascii="宋体" w:hAnsi="宋体"/>
          <w:sz w:val="24"/>
          <w:szCs w:val="24"/>
        </w:rPr>
        <w:t>》。</w:t>
      </w:r>
    </w:p>
    <w:p>
      <w:pPr>
        <w:autoSpaceDE w:val="0"/>
        <w:autoSpaceDN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1.7.2 </w:t>
      </w:r>
      <w:r>
        <w:rPr>
          <w:rFonts w:hint="eastAsia"/>
          <w:sz w:val="24"/>
          <w:szCs w:val="24"/>
        </w:rPr>
        <w:t>水性丙烯酸树脂涂料</w:t>
      </w:r>
      <w:r>
        <w:rPr>
          <w:rFonts w:hint="eastAsia" w:ascii="宋体" w:hAnsi="宋体"/>
          <w:sz w:val="24"/>
          <w:szCs w:val="24"/>
        </w:rPr>
        <w:t>技术要求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asciiTheme="minorEastAsia" w:hAnsiTheme="minorEastAsia" w:eastAsiaTheme="minorEastAsia"/>
        </w:rPr>
      </w:pPr>
      <w:r>
        <w:rPr>
          <w:rFonts w:hint="eastAsia" w:cs="黑体" w:asciiTheme="minorEastAsia" w:hAnsiTheme="minorEastAsia" w:eastAsiaTheme="minorEastAsia"/>
        </w:rPr>
        <w:t>表9 水性丙烯酸树脂涂料的技术要求</w:t>
      </w:r>
    </w:p>
    <w:tbl>
      <w:tblPr>
        <w:tblStyle w:val="8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"/>
        <w:gridCol w:w="861"/>
        <w:gridCol w:w="843"/>
        <w:gridCol w:w="1352"/>
        <w:gridCol w:w="58"/>
        <w:gridCol w:w="1984"/>
        <w:gridCol w:w="680"/>
        <w:gridCol w:w="1383"/>
        <w:gridCol w:w="22"/>
        <w:gridCol w:w="962"/>
        <w:gridCol w:w="1006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144" w:hRule="atLeast"/>
          <w:jc w:val="center"/>
        </w:trPr>
        <w:tc>
          <w:tcPr>
            <w:tcW w:w="3114" w:type="dxa"/>
            <w:gridSpan w:val="4"/>
            <w:vMerge w:val="restart"/>
            <w:vAlign w:val="center"/>
          </w:tcPr>
          <w:p>
            <w:pPr>
              <w:tabs>
                <w:tab w:val="left" w:pos="-105"/>
                <w:tab w:val="left" w:pos="0"/>
              </w:tabs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项    目</w:t>
            </w:r>
          </w:p>
        </w:tc>
        <w:tc>
          <w:tcPr>
            <w:tcW w:w="6101" w:type="dxa"/>
            <w:gridSpan w:val="7"/>
            <w:vAlign w:val="center"/>
          </w:tcPr>
          <w:p>
            <w:pPr>
              <w:tabs>
                <w:tab w:val="left" w:pos="-105"/>
                <w:tab w:val="left" w:pos="0"/>
              </w:tabs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要  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205" w:hRule="atLeast"/>
          <w:jc w:val="center"/>
        </w:trPr>
        <w:tc>
          <w:tcPr>
            <w:tcW w:w="3114" w:type="dxa"/>
            <w:gridSpan w:val="4"/>
            <w:vMerge w:val="continue"/>
            <w:vAlign w:val="center"/>
          </w:tcPr>
          <w:p>
            <w:pPr>
              <w:tabs>
                <w:tab w:val="left" w:pos="-105"/>
                <w:tab w:val="left" w:pos="0"/>
              </w:tabs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tabs>
                <w:tab w:val="left" w:pos="-105"/>
                <w:tab w:val="left" w:pos="0"/>
              </w:tabs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I型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tabs>
                <w:tab w:val="left" w:pos="-105"/>
                <w:tab w:val="left" w:pos="0"/>
              </w:tabs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II型</w:t>
            </w:r>
          </w:p>
        </w:tc>
        <w:tc>
          <w:tcPr>
            <w:tcW w:w="2054" w:type="dxa"/>
            <w:gridSpan w:val="4"/>
            <w:vAlign w:val="center"/>
          </w:tcPr>
          <w:p>
            <w:pPr>
              <w:tabs>
                <w:tab w:val="left" w:pos="-105"/>
                <w:tab w:val="left" w:pos="0"/>
              </w:tabs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III型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290" w:hRule="atLeast"/>
          <w:jc w:val="center"/>
        </w:trPr>
        <w:tc>
          <w:tcPr>
            <w:tcW w:w="3114" w:type="dxa"/>
            <w:gridSpan w:val="4"/>
            <w:vMerge w:val="continue"/>
            <w:vAlign w:val="center"/>
          </w:tcPr>
          <w:p>
            <w:pPr>
              <w:tabs>
                <w:tab w:val="left" w:pos="-105"/>
                <w:tab w:val="left" w:pos="0"/>
              </w:tabs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tabs>
                <w:tab w:val="left" w:pos="-105"/>
                <w:tab w:val="left" w:pos="0"/>
              </w:tabs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tabs>
                <w:tab w:val="left" w:pos="-105"/>
                <w:tab w:val="left" w:pos="0"/>
              </w:tabs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底漆</w:t>
            </w:r>
          </w:p>
        </w:tc>
        <w:tc>
          <w:tcPr>
            <w:tcW w:w="1383" w:type="dxa"/>
            <w:vAlign w:val="center"/>
          </w:tcPr>
          <w:p>
            <w:pPr>
              <w:tabs>
                <w:tab w:val="left" w:pos="-105"/>
                <w:tab w:val="left" w:pos="0"/>
              </w:tabs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面漆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tabs>
                <w:tab w:val="left" w:pos="-105"/>
                <w:tab w:val="left" w:pos="0"/>
              </w:tabs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底漆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tabs>
                <w:tab w:val="left" w:pos="-105"/>
                <w:tab w:val="left" w:pos="0"/>
              </w:tabs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面漆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115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tabs>
                <w:tab w:val="left" w:pos="-105"/>
                <w:tab w:val="left" w:pos="0"/>
              </w:tabs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在容器中状态</w:t>
            </w:r>
          </w:p>
        </w:tc>
        <w:tc>
          <w:tcPr>
            <w:tcW w:w="6101" w:type="dxa"/>
            <w:gridSpan w:val="7"/>
            <w:vAlign w:val="center"/>
          </w:tcPr>
          <w:p>
            <w:pPr>
              <w:tabs>
                <w:tab w:val="left" w:pos="-105"/>
                <w:tab w:val="left" w:pos="0"/>
              </w:tabs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搅拌混合后无硬块，呈均匀状态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274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tabs>
                <w:tab w:val="left" w:pos="-105"/>
                <w:tab w:val="left" w:pos="0"/>
              </w:tabs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储存稳定性[(50±2)℃/7d]</w:t>
            </w:r>
          </w:p>
        </w:tc>
        <w:tc>
          <w:tcPr>
            <w:tcW w:w="6101" w:type="dxa"/>
            <w:gridSpan w:val="7"/>
            <w:vAlign w:val="center"/>
          </w:tcPr>
          <w:p>
            <w:pPr>
              <w:tabs>
                <w:tab w:val="left" w:pos="-105"/>
                <w:tab w:val="left" w:pos="0"/>
              </w:tabs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无异常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1043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不挥发物含量/%      ≥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清漆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色漆</w:t>
            </w:r>
          </w:p>
        </w:tc>
        <w:tc>
          <w:tcPr>
            <w:tcW w:w="6101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281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细度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vertAlign w:val="superscript"/>
              </w:rPr>
              <w:t>a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/μm           ≤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center" w:pos="1373"/>
                <w:tab w:val="right" w:pos="2626"/>
              </w:tabs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229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干燥时间  ≤    表干/min</w:t>
            </w:r>
          </w:p>
          <w:p>
            <w:pPr>
              <w:ind w:firstLine="1680" w:firstLineChars="800"/>
              <w:jc w:val="left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实干/h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商定</w:t>
            </w:r>
          </w:p>
        </w:tc>
        <w:tc>
          <w:tcPr>
            <w:tcW w:w="4117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70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漆膜外观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正常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正常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106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耐冲击性/cm        ≥</w:t>
            </w:r>
          </w:p>
        </w:tc>
        <w:tc>
          <w:tcPr>
            <w:tcW w:w="6101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70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弯曲试验/mm</w:t>
            </w:r>
          </w:p>
        </w:tc>
        <w:tc>
          <w:tcPr>
            <w:tcW w:w="6101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171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划格试验/级        ≤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（划格间距1mm）</w:t>
            </w:r>
          </w:p>
        </w:tc>
        <w:tc>
          <w:tcPr>
            <w:tcW w:w="6101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95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铅笔硬度（擦伤）   ≥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HB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2B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158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光泽（60°）/单位值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商定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商定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177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耐水性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168h不起泡，不脱落，允许轻微变色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24h不起泡，不脱落，允许轻微变色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96h不起泡，不脱落，允许轻微变色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64" w:type="dxa"/>
          <w:trHeight w:val="123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耐挥发油性[符合SH 0004—1990的溶剂油]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6h不发软，不发粘，不起泡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6h不发软，不发粘，不起泡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trHeight w:val="70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耐盐水性（3%NaCl溶液）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96h不起泡，不生锈，允许轻微变色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4" w:type="dxa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耐盐雾性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96h无起泡、生锈、开裂剥落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48h无起泡、生锈、开裂、剥落等现象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11" w:hRule="atLeast"/>
          <w:jc w:val="center"/>
        </w:trPr>
        <w:tc>
          <w:tcPr>
            <w:tcW w:w="9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耐人工气候老化性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清漆、白色漆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粉化/级≤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变色/级≤</w:t>
            </w:r>
          </w:p>
          <w:p>
            <w:pPr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失光/级≤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500h不起泡、不开裂、不剥落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0" w:hRule="atLeast"/>
          <w:jc w:val="center"/>
        </w:trPr>
        <w:tc>
          <w:tcPr>
            <w:tcW w:w="9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其它色漆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粉化/级≤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变色/级≤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失光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1"/>
                <w:vertAlign w:val="superscript"/>
              </w:rPr>
              <w:t>c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/级≤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500h不起泡、不开裂、不剥落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商定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37" w:hRule="atLeast"/>
          <w:jc w:val="center"/>
        </w:trPr>
        <w:tc>
          <w:tcPr>
            <w:tcW w:w="92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    a  含效应颜料，如珠光粉、铝粉等的产品除外。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    b  仅限室外用产品，底漆除外。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 xml:space="preserve">    c  试板的原始光泽≤30单位值时，不进行失光评定。</w:t>
            </w:r>
          </w:p>
        </w:tc>
      </w:tr>
    </w:tbl>
    <w:p>
      <w:pPr>
        <w:autoSpaceDE w:val="0"/>
        <w:autoSpaceDN w:val="0"/>
        <w:spacing w:line="360" w:lineRule="auto"/>
        <w:jc w:val="both"/>
        <w:rPr>
          <w:rFonts w:hint="eastAsia"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1.8 水性环氧树脂防腐涂料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1.8.1 水性环氧树脂防腐涂料采用标准HG/T 4759-2014《水性环氧树脂防腐涂料》。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1.8.2 水性环氧树脂防腐涂料技术要求：</w:t>
      </w:r>
    </w:p>
    <w:p>
      <w:pPr>
        <w:autoSpaceDE w:val="0"/>
        <w:autoSpaceDN w:val="0"/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表10 水性环氧树脂防腐涂料的技术要求</w:t>
      </w:r>
    </w:p>
    <w:tbl>
      <w:tblPr>
        <w:tblStyle w:val="7"/>
        <w:tblW w:w="8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76"/>
        <w:gridCol w:w="2087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4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4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在容器中状态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4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涂膜外观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干燥时间</w:t>
            </w:r>
          </w:p>
        </w:tc>
        <w:tc>
          <w:tcPr>
            <w:tcW w:w="208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表干，h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8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实干，h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不挥发物含量，%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弯曲试验,mm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耐冲击性，cm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4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划格试验,级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贮存稳定性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[(50±2)℃,14d]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正常</w:t>
            </w:r>
          </w:p>
        </w:tc>
      </w:tr>
    </w:tbl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1.9 水性聚氨酯涂料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1.9.1 水性聚氨酯涂料采用标准HG/T 4761-2014《水性聚氨酯涂料》。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1.9.2 水性聚氨酯涂料技术要求:</w:t>
      </w:r>
    </w:p>
    <w:p>
      <w:pPr>
        <w:autoSpaceDE w:val="0"/>
        <w:autoSpaceDN w:val="0"/>
        <w:spacing w:line="360" w:lineRule="auto"/>
        <w:jc w:val="center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表11 水性聚氨酯涂料的技术要求</w:t>
      </w:r>
    </w:p>
    <w:tbl>
      <w:tblPr>
        <w:tblStyle w:val="7"/>
        <w:tblW w:w="8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828"/>
        <w:gridCol w:w="3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38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</w:t>
            </w:r>
          </w:p>
        </w:tc>
        <w:tc>
          <w:tcPr>
            <w:tcW w:w="33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在容器中状态</w:t>
            </w:r>
          </w:p>
        </w:tc>
        <w:tc>
          <w:tcPr>
            <w:tcW w:w="33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搅拌后均匀无硬块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细度,μm</w:t>
            </w:r>
          </w:p>
        </w:tc>
        <w:tc>
          <w:tcPr>
            <w:tcW w:w="33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38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不挥发物含量，%</w:t>
            </w:r>
          </w:p>
        </w:tc>
        <w:tc>
          <w:tcPr>
            <w:tcW w:w="33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38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贮存稳定性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[(50±2)℃,7d]</w:t>
            </w:r>
          </w:p>
        </w:tc>
        <w:tc>
          <w:tcPr>
            <w:tcW w:w="33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无异常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3828" w:type="dxa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干燥时间（表干）/h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（实干）/h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（烘干）</w:t>
            </w:r>
          </w:p>
        </w:tc>
        <w:tc>
          <w:tcPr>
            <w:tcW w:w="3389" w:type="dxa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≤2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≤24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38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涂膜外观</w:t>
            </w:r>
          </w:p>
        </w:tc>
        <w:tc>
          <w:tcPr>
            <w:tcW w:w="33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38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铅笔硬度（擦伤）</w:t>
            </w:r>
          </w:p>
        </w:tc>
        <w:tc>
          <w:tcPr>
            <w:tcW w:w="33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38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划格试验，级</w:t>
            </w:r>
          </w:p>
        </w:tc>
        <w:tc>
          <w:tcPr>
            <w:tcW w:w="33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38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弯曲试验,mm</w:t>
            </w:r>
          </w:p>
        </w:tc>
        <w:tc>
          <w:tcPr>
            <w:tcW w:w="33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38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耐冲击性，cm</w:t>
            </w:r>
          </w:p>
        </w:tc>
        <w:tc>
          <w:tcPr>
            <w:tcW w:w="33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38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光泽（60°）</w:t>
            </w:r>
          </w:p>
        </w:tc>
        <w:tc>
          <w:tcPr>
            <w:tcW w:w="33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38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耐磨性(500g/500r,CS-10)，g</w:t>
            </w:r>
          </w:p>
        </w:tc>
        <w:tc>
          <w:tcPr>
            <w:tcW w:w="33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13</w:t>
            </w:r>
          </w:p>
        </w:tc>
        <w:tc>
          <w:tcPr>
            <w:tcW w:w="38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耐干热性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[(70±2)℃,15mim]，级</w:t>
            </w:r>
          </w:p>
        </w:tc>
        <w:tc>
          <w:tcPr>
            <w:tcW w:w="33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≤2</w:t>
            </w:r>
          </w:p>
        </w:tc>
      </w:tr>
    </w:tbl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/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1.10 低锌底漆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1.10.1 低锌底漆采用标准HG/T 4844-2015（2017）《低锌底漆》。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1.10.2 低锌底漆技术要求：</w:t>
      </w:r>
    </w:p>
    <w:p>
      <w:pPr>
        <w:autoSpaceDE w:val="0"/>
        <w:autoSpaceDN w:val="0"/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表12 低锌底漆的技术要求</w:t>
      </w:r>
    </w:p>
    <w:tbl>
      <w:tblPr>
        <w:tblStyle w:val="7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301"/>
        <w:gridCol w:w="2176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330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</w:t>
            </w:r>
          </w:p>
        </w:tc>
        <w:tc>
          <w:tcPr>
            <w:tcW w:w="4622" w:type="dxa"/>
            <w:gridSpan w:val="2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Merge w:val="continue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01" w:type="dxa"/>
            <w:vMerge w:val="continue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无机低锌底漆</w:t>
            </w:r>
          </w:p>
        </w:tc>
        <w:tc>
          <w:tcPr>
            <w:tcW w:w="244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有机低锌底漆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在容器中状态</w:t>
            </w:r>
          </w:p>
        </w:tc>
        <w:tc>
          <w:tcPr>
            <w:tcW w:w="46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粉料：应呈微小的、均匀粉末状态；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液料和浆料：搅拌混合后应无硬块，呈均匀状态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3301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不挥发物含量，%              </w:t>
            </w:r>
          </w:p>
        </w:tc>
        <w:tc>
          <w:tcPr>
            <w:tcW w:w="2176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≥50</w:t>
            </w:r>
          </w:p>
        </w:tc>
        <w:tc>
          <w:tcPr>
            <w:tcW w:w="2446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密度，g/ml</w:t>
            </w:r>
          </w:p>
        </w:tc>
        <w:tc>
          <w:tcPr>
            <w:tcW w:w="4622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不挥发份中的金属锌含量，%</w:t>
            </w:r>
          </w:p>
        </w:tc>
        <w:tc>
          <w:tcPr>
            <w:tcW w:w="4622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≥40且＜60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适用期，h</w:t>
            </w:r>
          </w:p>
        </w:tc>
        <w:tc>
          <w:tcPr>
            <w:tcW w:w="4622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施工性</w:t>
            </w:r>
          </w:p>
        </w:tc>
        <w:tc>
          <w:tcPr>
            <w:tcW w:w="4622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施工无障碍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涂膜外观</w:t>
            </w:r>
          </w:p>
        </w:tc>
        <w:tc>
          <w:tcPr>
            <w:tcW w:w="4622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涂膜外观正常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3301" w:type="dxa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干燥时间     （表干）/h        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（实干）/h       </w:t>
            </w:r>
          </w:p>
        </w:tc>
        <w:tc>
          <w:tcPr>
            <w:tcW w:w="2176" w:type="dxa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≤0.5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≤8</w:t>
            </w:r>
          </w:p>
        </w:tc>
        <w:tc>
          <w:tcPr>
            <w:tcW w:w="2446" w:type="dxa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≤2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耐冲击性，cm</w:t>
            </w:r>
          </w:p>
        </w:tc>
        <w:tc>
          <w:tcPr>
            <w:tcW w:w="21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——</w:t>
            </w:r>
          </w:p>
        </w:tc>
        <w:tc>
          <w:tcPr>
            <w:tcW w:w="244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柔韧性，mm</w:t>
            </w:r>
          </w:p>
        </w:tc>
        <w:tc>
          <w:tcPr>
            <w:tcW w:w="21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——</w:t>
            </w:r>
          </w:p>
        </w:tc>
        <w:tc>
          <w:tcPr>
            <w:tcW w:w="244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附着力（拉开法），MPa</w:t>
            </w:r>
          </w:p>
        </w:tc>
        <w:tc>
          <w:tcPr>
            <w:tcW w:w="21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≥3</w:t>
            </w:r>
          </w:p>
        </w:tc>
        <w:tc>
          <w:tcPr>
            <w:tcW w:w="244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7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330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耐盐雾性</w:t>
            </w:r>
          </w:p>
        </w:tc>
        <w:tc>
          <w:tcPr>
            <w:tcW w:w="21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240h</w:t>
            </w:r>
          </w:p>
        </w:tc>
        <w:tc>
          <w:tcPr>
            <w:tcW w:w="244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0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22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划痕处单项扩蚀≤2.0mm，未划痕区无起泡、生锈、开裂、剥落等现象</w:t>
            </w:r>
          </w:p>
        </w:tc>
      </w:tr>
    </w:tbl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1.11冷涂锌涂料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1.11.1 冷涂锌涂料采用标准</w:t>
      </w:r>
      <w:r>
        <w:rPr>
          <w:rFonts w:asciiTheme="minorEastAsia" w:hAnsiTheme="minorEastAsia" w:eastAsiaTheme="minorEastAsia"/>
          <w:sz w:val="24"/>
          <w:szCs w:val="24"/>
        </w:rPr>
        <w:t>HG/T 4845-2015</w:t>
      </w:r>
      <w:r>
        <w:rPr>
          <w:rFonts w:hint="eastAsia" w:asciiTheme="minorEastAsia" w:hAnsiTheme="minorEastAsia" w:eastAsiaTheme="minorEastAsia"/>
          <w:sz w:val="24"/>
          <w:szCs w:val="24"/>
        </w:rPr>
        <w:t>（2017）《冷涂锌涂料》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1.11.2 </w:t>
      </w:r>
      <w:r>
        <w:rPr>
          <w:rFonts w:hint="eastAsia" w:asciiTheme="minorEastAsia" w:hAnsiTheme="minorEastAsia" w:eastAsiaTheme="minorEastAsia"/>
          <w:sz w:val="24"/>
          <w:szCs w:val="24"/>
        </w:rPr>
        <w:t>冷涂锌涂料</w:t>
      </w:r>
      <w:r>
        <w:rPr>
          <w:rFonts w:hint="eastAsia" w:ascii="宋体" w:hAnsi="宋体"/>
          <w:sz w:val="24"/>
          <w:szCs w:val="24"/>
        </w:rPr>
        <w:t>技术要求：</w:t>
      </w:r>
    </w:p>
    <w:p>
      <w:pPr>
        <w:autoSpaceDE w:val="0"/>
        <w:autoSpaceDN w:val="0"/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表13 </w:t>
      </w:r>
      <w:r>
        <w:rPr>
          <w:rFonts w:hint="eastAsia" w:asciiTheme="minorEastAsia" w:hAnsiTheme="minorEastAsia" w:eastAsiaTheme="minorEastAsia"/>
          <w:sz w:val="24"/>
          <w:szCs w:val="24"/>
        </w:rPr>
        <w:t>冷涂锌涂料</w:t>
      </w:r>
      <w:r>
        <w:rPr>
          <w:rFonts w:hint="eastAsia" w:ascii="宋体" w:hAnsi="宋体"/>
          <w:szCs w:val="21"/>
        </w:rPr>
        <w:t>的技术要求</w:t>
      </w:r>
    </w:p>
    <w:tbl>
      <w:tblPr>
        <w:tblStyle w:val="7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301"/>
        <w:gridCol w:w="4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</w:t>
            </w:r>
          </w:p>
        </w:tc>
        <w:tc>
          <w:tcPr>
            <w:tcW w:w="4353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在容器中状态</w:t>
            </w: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搅拌后无硬块，呈均匀状态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3301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不挥发物含量，%              </w:t>
            </w:r>
          </w:p>
        </w:tc>
        <w:tc>
          <w:tcPr>
            <w:tcW w:w="4353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不挥发份中的金属锌量，%</w:t>
            </w: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不挥发份中的全锌量，%</w:t>
            </w: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3301" w:type="dxa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干燥时间    （表干）/h        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（实干）/h       </w:t>
            </w:r>
          </w:p>
        </w:tc>
        <w:tc>
          <w:tcPr>
            <w:tcW w:w="4353" w:type="dxa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≤0.5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涂膜外观</w:t>
            </w: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涂膜外观正常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柔韧性，mm</w:t>
            </w: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耐冲击性，cm</w:t>
            </w: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划格试验，级</w:t>
            </w: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附着力（拉开法），MPa</w:t>
            </w: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耐盐雾性（2000h）</w:t>
            </w: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划线处无红锈，单项扩蚀≤2.0mm，未划线区无开裂、剥落、生锈现象，允许起泡密度等级≤1级，允许起泡大小等级≤S3级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3301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配套性</w:t>
            </w:r>
          </w:p>
        </w:tc>
        <w:tc>
          <w:tcPr>
            <w:tcW w:w="4353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漆膜平整，不起皱、不咬起、而且附着力≥3MPa</w:t>
            </w:r>
          </w:p>
        </w:tc>
      </w:tr>
    </w:tbl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/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1.12 钢结构用水性防腐涂料</w:t>
      </w:r>
    </w:p>
    <w:p>
      <w:pPr>
        <w:autoSpaceDE w:val="0"/>
        <w:autoSpaceDN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1.12.1</w:t>
      </w:r>
      <w:r>
        <w:rPr>
          <w:rFonts w:hint="eastAsia"/>
          <w:sz w:val="24"/>
          <w:szCs w:val="24"/>
        </w:rPr>
        <w:t>钢结构用水性防腐涂料采用标准</w:t>
      </w:r>
      <w:r>
        <w:rPr>
          <w:sz w:val="24"/>
          <w:szCs w:val="24"/>
        </w:rPr>
        <w:t>HG/T 5176-2017</w:t>
      </w:r>
      <w:r>
        <w:rPr>
          <w:rFonts w:hint="eastAsia"/>
          <w:sz w:val="24"/>
          <w:szCs w:val="24"/>
        </w:rPr>
        <w:t>《钢结构用水性防腐涂料》。</w:t>
      </w:r>
    </w:p>
    <w:p>
      <w:pPr>
        <w:pStyle w:val="27"/>
        <w:numPr>
          <w:ilvl w:val="2"/>
          <w:numId w:val="5"/>
        </w:numPr>
        <w:autoSpaceDE w:val="0"/>
        <w:autoSpaceDN w:val="0"/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钢结构用水性防腐涂料</w:t>
      </w:r>
      <w:r>
        <w:rPr>
          <w:rFonts w:hint="eastAsia" w:ascii="宋体" w:hAnsi="宋体"/>
          <w:sz w:val="24"/>
          <w:szCs w:val="24"/>
        </w:rPr>
        <w:t>技术要求</w:t>
      </w:r>
      <w:r>
        <w:rPr>
          <w:rFonts w:hint="eastAsia"/>
          <w:sz w:val="24"/>
          <w:szCs w:val="24"/>
        </w:rPr>
        <w:t>：</w:t>
      </w:r>
    </w:p>
    <w:p>
      <w:pPr>
        <w:autoSpaceDE w:val="0"/>
        <w:autoSpaceDN w:val="0"/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表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钢结构用水性防腐涂料底漆的技术要求</w:t>
      </w:r>
    </w:p>
    <w:tbl>
      <w:tblPr>
        <w:tblStyle w:val="7"/>
        <w:tblW w:w="8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167"/>
        <w:gridCol w:w="2027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0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项目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40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水性富锌底漆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其它水性底漆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gridSpan w:val="2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在容器中状态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液料：搅拌混合后无硬块，呈均匀状态；</w:t>
            </w:r>
          </w:p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粉料：</w:t>
            </w:r>
            <w:r>
              <w:rPr>
                <w:rFonts w:hint="eastAsia" w:hAnsi="宋体"/>
                <w:color w:val="000000"/>
                <w:szCs w:val="21"/>
              </w:rPr>
              <w:t>呈微小的均匀粉末状态。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gridSpan w:val="2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冻融稳定性（3次循环）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不变质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gridSpan w:val="2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不挥发物含量/%               </w:t>
            </w:r>
            <w:r>
              <w:rPr>
                <w:rFonts w:asci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>≥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gridSpan w:val="2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密度/(g/</w:t>
            </w:r>
            <w:r>
              <w:rPr>
                <w:rFonts w:ascii="宋体"/>
                <w:color w:val="000000"/>
                <w:szCs w:val="21"/>
              </w:rPr>
              <w:t xml:space="preserve">mL) 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商定值±0.05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gridSpan w:val="2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 xml:space="preserve">挥发性有机化合物(VOC)含量/(g/L) </w:t>
            </w: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≤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 w:val="21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025" w:type="dxa"/>
            <w:gridSpan w:val="2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施工性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施涂无障碍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025" w:type="dxa"/>
            <w:gridSpan w:val="2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涂膜外观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gridSpan w:val="2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闪锈抑制性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58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干燥时间/h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</w:p>
        </w:tc>
        <w:tc>
          <w:tcPr>
            <w:tcW w:w="2167" w:type="dxa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表干</w:t>
            </w:r>
            <w:r>
              <w:rPr>
                <w:rFonts w:ascii="宋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Cs w:val="21"/>
              </w:rPr>
              <w:t>≤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58" w:type="dxa"/>
            <w:vMerge w:val="continue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实干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Cs w:val="21"/>
              </w:rPr>
              <w:t>≤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gridSpan w:val="2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早期耐水性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无异常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gridSpan w:val="2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划格试验</w:t>
            </w:r>
            <w:r>
              <w:rPr>
                <w:rFonts w:ascii="宋体"/>
                <w:color w:val="000000"/>
                <w:szCs w:val="21"/>
                <w:vertAlign w:val="superscript"/>
              </w:rPr>
              <w:t>a</w:t>
            </w:r>
            <w:r>
              <w:rPr>
                <w:rFonts w:hint="eastAsia" w:ascii="宋体"/>
                <w:color w:val="000000"/>
                <w:szCs w:val="21"/>
              </w:rPr>
              <w:t xml:space="preserve">/级                  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≤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——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5" w:type="dxa"/>
            <w:gridSpan w:val="2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附着力（拉开法）</w:t>
            </w:r>
            <w:r>
              <w:rPr>
                <w:rFonts w:ascii="宋体"/>
                <w:color w:val="000000"/>
                <w:szCs w:val="21"/>
                <w:vertAlign w:val="superscript"/>
              </w:rPr>
              <w:t>b</w:t>
            </w:r>
            <w:r>
              <w:rPr>
                <w:rFonts w:ascii="宋体"/>
                <w:color w:val="000000"/>
                <w:szCs w:val="21"/>
              </w:rPr>
              <w:t xml:space="preserve">/MPa             </w:t>
            </w:r>
            <w:r>
              <w:rPr>
                <w:rFonts w:hint="eastAsia" w:ascii="宋体"/>
                <w:color w:val="000000"/>
                <w:szCs w:val="21"/>
              </w:rPr>
              <w:t>≥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025" w:type="dxa"/>
            <w:gridSpan w:val="2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bookmarkStart w:id="0" w:name="OLE_LINK3"/>
            <w:bookmarkStart w:id="1" w:name="OLE_LINK1"/>
            <w:bookmarkStart w:id="2" w:name="OLE_LINK4"/>
            <w:bookmarkStart w:id="3" w:name="OLE_LINK2"/>
            <w:r>
              <w:rPr>
                <w:rFonts w:hint="eastAsia" w:ascii="宋体" w:hAnsi="宋体"/>
                <w:color w:val="000000"/>
                <w:szCs w:val="21"/>
              </w:rPr>
              <w:t>不挥发分中金属锌含量</w:t>
            </w:r>
            <w:bookmarkEnd w:id="0"/>
            <w:bookmarkEnd w:id="1"/>
            <w:bookmarkEnd w:id="2"/>
            <w:bookmarkEnd w:id="3"/>
            <w:r>
              <w:rPr>
                <w:rFonts w:ascii="宋体" w:hAnsi="宋体"/>
                <w:color w:val="000000"/>
                <w:szCs w:val="21"/>
              </w:rPr>
              <w:t xml:space="preserve">/%           </w:t>
            </w:r>
            <w:r>
              <w:rPr>
                <w:rFonts w:hint="eastAsia" w:ascii="宋体" w:hAnsi="宋体"/>
                <w:color w:val="000000"/>
                <w:szCs w:val="21"/>
              </w:rPr>
              <w:t>≥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  <w:vertAlign w:val="superscript"/>
              </w:rPr>
            </w:pPr>
            <w:r>
              <w:rPr>
                <w:rFonts w:ascii="宋体"/>
                <w:color w:val="000000"/>
                <w:szCs w:val="21"/>
              </w:rPr>
              <w:t>60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  <w:vertAlign w:val="superscript"/>
              </w:rPr>
            </w:pPr>
            <w:r>
              <w:rPr>
                <w:rFonts w:hint="eastAsia" w:ascii="宋体"/>
                <w:color w:val="00000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1" w:type="dxa"/>
            <w:gridSpan w:val="4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firstLine="420" w:firstLineChars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vertAlign w:val="superscript"/>
              </w:rPr>
              <w:t xml:space="preserve">a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不含锌的水性底漆测试该项目。</w:t>
            </w:r>
          </w:p>
          <w:p>
            <w:pPr>
              <w:pStyle w:val="11"/>
              <w:numPr>
                <w:ilvl w:val="0"/>
                <w:numId w:val="0"/>
              </w:numPr>
              <w:ind w:firstLine="420" w:firstLineChars="200"/>
              <w:rPr>
                <w:strike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vertAlign w:val="superscript"/>
              </w:rPr>
              <w:t>b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水性富锌底漆和水性含锌底漆测试该项目。</w:t>
            </w:r>
          </w:p>
        </w:tc>
      </w:tr>
    </w:tbl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表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5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钢结构用水性防腐涂料中间漆的技术要求</w:t>
      </w:r>
    </w:p>
    <w:tbl>
      <w:tblPr>
        <w:tblStyle w:val="7"/>
        <w:tblW w:w="8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161"/>
        <w:gridCol w:w="3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项目</w:t>
            </w:r>
          </w:p>
        </w:tc>
        <w:tc>
          <w:tcPr>
            <w:tcW w:w="378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在容器中状态</w:t>
            </w:r>
          </w:p>
        </w:tc>
        <w:tc>
          <w:tcPr>
            <w:tcW w:w="378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搅拌混合后无硬块，呈均匀状态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冻融稳定性（3次循环）</w:t>
            </w:r>
          </w:p>
        </w:tc>
        <w:tc>
          <w:tcPr>
            <w:tcW w:w="378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不变质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不挥发物含量/%</w:t>
            </w:r>
            <w:r>
              <w:rPr>
                <w:rFonts w:ascii="宋体"/>
                <w:color w:val="000000"/>
                <w:szCs w:val="21"/>
              </w:rPr>
              <w:t xml:space="preserve">                      </w:t>
            </w:r>
            <w:r>
              <w:rPr>
                <w:rFonts w:hint="eastAsia" w:ascii="宋体"/>
                <w:color w:val="000000"/>
                <w:szCs w:val="21"/>
              </w:rPr>
              <w:t>≥</w:t>
            </w:r>
          </w:p>
        </w:tc>
        <w:tc>
          <w:tcPr>
            <w:tcW w:w="378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密度/(g/</w:t>
            </w:r>
            <w:r>
              <w:rPr>
                <w:rFonts w:ascii="宋体"/>
                <w:color w:val="000000"/>
                <w:szCs w:val="21"/>
              </w:rPr>
              <w:t xml:space="preserve">mL) </w:t>
            </w:r>
          </w:p>
        </w:tc>
        <w:tc>
          <w:tcPr>
            <w:tcW w:w="378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商定值±0.05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挥发性有机化合物(VOC)含量/(g/L)     ≤</w:t>
            </w:r>
          </w:p>
        </w:tc>
        <w:tc>
          <w:tcPr>
            <w:tcW w:w="378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施工性</w:t>
            </w:r>
          </w:p>
        </w:tc>
        <w:tc>
          <w:tcPr>
            <w:tcW w:w="378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施涂无障碍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涂膜外观</w:t>
            </w:r>
          </w:p>
        </w:tc>
        <w:tc>
          <w:tcPr>
            <w:tcW w:w="378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干燥时间/h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表干</w:t>
            </w:r>
            <w:r>
              <w:rPr>
                <w:rFonts w:ascii="宋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Cs w:val="21"/>
              </w:rPr>
              <w:t>≤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</w:t>
            </w:r>
          </w:p>
        </w:tc>
        <w:tc>
          <w:tcPr>
            <w:tcW w:w="37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2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实干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Cs w:val="21"/>
              </w:rPr>
              <w:t>≤</w:t>
            </w:r>
          </w:p>
        </w:tc>
        <w:tc>
          <w:tcPr>
            <w:tcW w:w="37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耐冲击性/cm</w:t>
            </w:r>
            <w:r>
              <w:rPr>
                <w:rFonts w:ascii="宋体"/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宋体"/>
                <w:color w:val="000000"/>
                <w:szCs w:val="21"/>
              </w:rPr>
              <w:t>≥</w:t>
            </w:r>
          </w:p>
        </w:tc>
        <w:tc>
          <w:tcPr>
            <w:tcW w:w="378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划格试验/级                </w:t>
            </w:r>
            <w:r>
              <w:rPr>
                <w:rFonts w:ascii="宋体"/>
                <w:color w:val="000000"/>
                <w:szCs w:val="21"/>
              </w:rPr>
              <w:t xml:space="preserve">        </w:t>
            </w:r>
            <w:r>
              <w:rPr>
                <w:rFonts w:hint="eastAsia" w:ascii="宋体"/>
                <w:color w:val="000000"/>
                <w:szCs w:val="21"/>
              </w:rPr>
              <w:t>≤</w:t>
            </w:r>
          </w:p>
        </w:tc>
        <w:tc>
          <w:tcPr>
            <w:tcW w:w="378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早期耐水性</w:t>
            </w:r>
          </w:p>
        </w:tc>
        <w:tc>
          <w:tcPr>
            <w:tcW w:w="3784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无异常</w:t>
            </w:r>
          </w:p>
        </w:tc>
      </w:tr>
    </w:tbl>
    <w:p>
      <w:pPr>
        <w:pStyle w:val="12"/>
        <w:tabs>
          <w:tab w:val="clear" w:pos="360"/>
        </w:tabs>
        <w:spacing w:before="156" w:after="156"/>
        <w:rPr>
          <w:rFonts w:asciiTheme="minorEastAsia" w:hAnsiTheme="minorEastAsia" w:eastAsiaTheme="minorEastAsia"/>
          <w:kern w:val="2"/>
          <w:szCs w:val="21"/>
        </w:rPr>
      </w:pPr>
      <w:r>
        <w:rPr>
          <w:rFonts w:hint="eastAsia" w:asciiTheme="minorEastAsia" w:hAnsiTheme="minorEastAsia" w:eastAsiaTheme="minorEastAsia"/>
          <w:kern w:val="2"/>
          <w:szCs w:val="21"/>
        </w:rPr>
        <w:t>表</w:t>
      </w:r>
      <w:r>
        <w:rPr>
          <w:rFonts w:asciiTheme="minorEastAsia" w:hAnsiTheme="minorEastAsia" w:eastAsiaTheme="minorEastAsia"/>
          <w:kern w:val="2"/>
          <w:szCs w:val="21"/>
        </w:rPr>
        <w:t>1</w:t>
      </w:r>
      <w:r>
        <w:rPr>
          <w:rFonts w:hint="eastAsia" w:asciiTheme="minorEastAsia" w:hAnsiTheme="minorEastAsia" w:eastAsiaTheme="minorEastAsia"/>
          <w:kern w:val="2"/>
          <w:szCs w:val="21"/>
        </w:rPr>
        <w:t>6</w:t>
      </w:r>
      <w:r>
        <w:rPr>
          <w:rFonts w:asciiTheme="minorEastAsia" w:hAnsiTheme="minorEastAsia" w:eastAsiaTheme="minorEastAsia"/>
          <w:kern w:val="2"/>
          <w:szCs w:val="21"/>
        </w:rPr>
        <w:t xml:space="preserve"> </w:t>
      </w:r>
      <w:r>
        <w:rPr>
          <w:rFonts w:hint="eastAsia" w:asciiTheme="minorEastAsia" w:hAnsiTheme="minorEastAsia" w:eastAsiaTheme="minorEastAsia"/>
          <w:kern w:val="2"/>
          <w:szCs w:val="21"/>
        </w:rPr>
        <w:t>钢结构用水性防腐涂料面漆的</w:t>
      </w:r>
      <w:r>
        <w:rPr>
          <w:rFonts w:hint="eastAsia" w:asciiTheme="minorEastAsia" w:hAnsiTheme="minorEastAsia" w:eastAsiaTheme="minorEastAsia"/>
          <w:szCs w:val="21"/>
        </w:rPr>
        <w:t>技术</w:t>
      </w:r>
      <w:r>
        <w:rPr>
          <w:rFonts w:hint="eastAsia" w:asciiTheme="minorEastAsia" w:hAnsiTheme="minorEastAsia" w:eastAsiaTheme="minorEastAsia"/>
          <w:kern w:val="2"/>
          <w:szCs w:val="21"/>
        </w:rPr>
        <w:t>要求</w:t>
      </w:r>
    </w:p>
    <w:tbl>
      <w:tblPr>
        <w:tblStyle w:val="7"/>
        <w:tblW w:w="8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213"/>
        <w:gridCol w:w="3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项目</w:t>
            </w:r>
          </w:p>
        </w:tc>
        <w:tc>
          <w:tcPr>
            <w:tcW w:w="399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在容器中状态</w:t>
            </w:r>
          </w:p>
        </w:tc>
        <w:tc>
          <w:tcPr>
            <w:tcW w:w="399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搅拌混合后无硬块，呈均匀状态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冻融稳定性（3次循环）</w:t>
            </w:r>
          </w:p>
        </w:tc>
        <w:tc>
          <w:tcPr>
            <w:tcW w:w="399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不变质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不挥发物含量/%</w:t>
            </w:r>
            <w:r>
              <w:rPr>
                <w:rFonts w:ascii="宋体"/>
                <w:color w:val="000000"/>
                <w:szCs w:val="21"/>
              </w:rPr>
              <w:t xml:space="preserve">                      </w:t>
            </w:r>
            <w:r>
              <w:rPr>
                <w:rFonts w:hint="eastAsia" w:ascii="宋体"/>
                <w:color w:val="000000"/>
                <w:szCs w:val="21"/>
              </w:rPr>
              <w:t>≥</w:t>
            </w:r>
          </w:p>
        </w:tc>
        <w:tc>
          <w:tcPr>
            <w:tcW w:w="399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密度/(g/</w:t>
            </w:r>
            <w:r>
              <w:rPr>
                <w:rFonts w:ascii="宋体"/>
                <w:color w:val="000000"/>
                <w:szCs w:val="21"/>
              </w:rPr>
              <w:t xml:space="preserve">mL) </w:t>
            </w:r>
          </w:p>
        </w:tc>
        <w:tc>
          <w:tcPr>
            <w:tcW w:w="399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商定值±0.05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挥发性有机化合物(VOC)含量/(g/L)     ≤</w:t>
            </w:r>
          </w:p>
        </w:tc>
        <w:tc>
          <w:tcPr>
            <w:tcW w:w="399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436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施工性</w:t>
            </w:r>
          </w:p>
        </w:tc>
        <w:tc>
          <w:tcPr>
            <w:tcW w:w="399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施涂无障碍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涂膜外观</w:t>
            </w:r>
          </w:p>
        </w:tc>
        <w:tc>
          <w:tcPr>
            <w:tcW w:w="399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干燥时间/h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表干</w:t>
            </w:r>
            <w:r>
              <w:rPr>
                <w:rFonts w:ascii="宋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Cs w:val="21"/>
              </w:rPr>
              <w:t>≤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</w:t>
            </w:r>
          </w:p>
        </w:tc>
        <w:tc>
          <w:tcPr>
            <w:tcW w:w="399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实干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Cs w:val="21"/>
              </w:rPr>
              <w:t>≤</w:t>
            </w:r>
          </w:p>
        </w:tc>
        <w:tc>
          <w:tcPr>
            <w:tcW w:w="399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7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弯曲试验/mm 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≤</w:t>
            </w:r>
          </w:p>
        </w:tc>
        <w:tc>
          <w:tcPr>
            <w:tcW w:w="399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7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耐冲击性/cm</w:t>
            </w:r>
            <w:r>
              <w:rPr>
                <w:rFonts w:ascii="宋体"/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宋体"/>
                <w:color w:val="000000"/>
                <w:szCs w:val="21"/>
              </w:rPr>
              <w:t>≥</w:t>
            </w:r>
          </w:p>
        </w:tc>
        <w:tc>
          <w:tcPr>
            <w:tcW w:w="399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7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划格试验/级                </w:t>
            </w:r>
            <w:r>
              <w:rPr>
                <w:rFonts w:ascii="宋体"/>
                <w:color w:val="000000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Cs w:val="21"/>
              </w:rPr>
              <w:t>≤</w:t>
            </w:r>
          </w:p>
        </w:tc>
        <w:tc>
          <w:tcPr>
            <w:tcW w:w="399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7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光泽（60°）/单位值</w:t>
            </w:r>
          </w:p>
        </w:tc>
        <w:tc>
          <w:tcPr>
            <w:tcW w:w="399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7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早期耐水性</w:t>
            </w:r>
          </w:p>
        </w:tc>
        <w:tc>
          <w:tcPr>
            <w:tcW w:w="399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无异常</w:t>
            </w:r>
          </w:p>
        </w:tc>
      </w:tr>
    </w:tbl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Theme="minorEastAsia" w:hAnsiTheme="minorEastAsia" w:eastAsiaTheme="minorEastAsia"/>
          <w:szCs w:val="21"/>
        </w:rPr>
        <w:t>表</w:t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7 钢结构用水性防腐涂层配套体系的技术要求</w:t>
      </w:r>
    </w:p>
    <w:tbl>
      <w:tblPr>
        <w:tblStyle w:val="7"/>
        <w:tblW w:w="9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734"/>
        <w:gridCol w:w="850"/>
        <w:gridCol w:w="851"/>
        <w:gridCol w:w="692"/>
        <w:gridCol w:w="725"/>
        <w:gridCol w:w="709"/>
        <w:gridCol w:w="851"/>
        <w:gridCol w:w="850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vMerge w:val="restart"/>
            <w:vAlign w:val="center"/>
          </w:tcPr>
          <w:p>
            <w:pPr>
              <w:ind w:right="4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712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腐蚀性等级/耐久性等级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C2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C3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C4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L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附着力（拉开法）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/MPa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≥</w:t>
            </w:r>
          </w:p>
          <w:p>
            <w:pPr>
              <w:rPr>
                <w:rFonts w:ascii="宋体" w:hAnsi="宋体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129" w:type="dxa"/>
            <w:gridSpan w:val="9"/>
          </w:tcPr>
          <w:p>
            <w:pPr>
              <w:pStyle w:val="28"/>
              <w:ind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（使用锌粉底漆、单组分醇酸底漆或单组分丙烯酸底漆等单组分体系适用）；</w:t>
            </w:r>
          </w:p>
          <w:p>
            <w:pPr>
              <w:pStyle w:val="28"/>
              <w:ind w:firstLine="36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（使用其他双组分交联型底漆的体系适用）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耐水性</w:t>
            </w:r>
            <w:r>
              <w:rPr>
                <w:rFonts w:hint="eastAsia" w:ascii="宋体" w:hAnsi="宋体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/h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耐酸性</w:t>
            </w:r>
            <w:r>
              <w:rPr>
                <w:rFonts w:hint="eastAsia" w:ascii="宋体" w:hAnsi="宋体"/>
                <w:color w:val="000000"/>
                <w:sz w:val="18"/>
                <w:szCs w:val="18"/>
                <w:vertAlign w:val="superscript"/>
              </w:rPr>
              <w:t>a,b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/h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(50g/L 硫酸溶液)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48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48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48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耐碱性</w:t>
            </w:r>
            <w:r>
              <w:rPr>
                <w:rFonts w:hint="eastAsia" w:ascii="宋体" w:hAnsi="宋体"/>
                <w:color w:val="000000"/>
                <w:sz w:val="18"/>
                <w:szCs w:val="18"/>
                <w:vertAlign w:val="superscript"/>
              </w:rPr>
              <w:t>a,c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/h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(50g/L氢氧化钠溶液)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耐油性</w:t>
            </w:r>
            <w:r>
              <w:rPr>
                <w:rFonts w:hint="eastAsia" w:ascii="宋体" w:hAnsi="宋体"/>
                <w:color w:val="000000"/>
                <w:sz w:val="18"/>
                <w:szCs w:val="18"/>
                <w:vertAlign w:val="superscript"/>
              </w:rPr>
              <w:t>a,d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/h (3号普通型油漆及清洗用溶剂油或商定)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连续冷凝试验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/h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耐中性盐雾</w:t>
            </w:r>
            <w:r>
              <w:rPr>
                <w:rFonts w:hint="eastAsia" w:ascii="宋体" w:hAnsi="宋体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/h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850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耐人工气候老化性</w:t>
            </w:r>
            <w:r>
              <w:rPr>
                <w:rFonts w:hint="eastAsia" w:ascii="宋体" w:hAnsi="宋体"/>
                <w:color w:val="000000"/>
                <w:sz w:val="18"/>
                <w:szCs w:val="18"/>
                <w:vertAlign w:val="superscript"/>
              </w:rPr>
              <w:t>e,f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/h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/>
                <w:color w:val="000000"/>
                <w:sz w:val="18"/>
              </w:rPr>
              <w:t>—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附着力（拉开法）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/M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Pa    ≥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（盐雾试验后）</w:t>
            </w:r>
          </w:p>
        </w:tc>
        <w:tc>
          <w:tcPr>
            <w:tcW w:w="7129" w:type="dxa"/>
            <w:gridSpan w:val="9"/>
          </w:tcPr>
          <w:p>
            <w:pPr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2且不小于初始测试结果的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50%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674" w:type="dxa"/>
            <w:gridSpan w:val="10"/>
          </w:tcPr>
          <w:p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耐水性、耐酸性、耐碱性、耐油性、连续冷凝试验、耐中性盐雾试验后不生锈、不起泡、不开裂、不剥落。</w:t>
            </w:r>
          </w:p>
          <w:p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  <w:r>
              <w:rPr>
                <w:rFonts w:hint="eastAsia"/>
                <w:sz w:val="18"/>
                <w:szCs w:val="18"/>
              </w:rPr>
              <w:t>在酸性环境条件下使用时测试。</w:t>
            </w:r>
          </w:p>
          <w:p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在碱性环境条件下使用时测试。</w:t>
            </w:r>
          </w:p>
          <w:p>
            <w:r>
              <w:rPr>
                <w:rFonts w:hint="eastAsia"/>
                <w:sz w:val="18"/>
                <w:szCs w:val="18"/>
              </w:rPr>
              <w:t>d在油类环境条件下使用时测试。</w:t>
            </w:r>
          </w:p>
          <w:p>
            <w:r>
              <w:rPr>
                <w:rFonts w:hint="eastAsia"/>
                <w:sz w:val="18"/>
                <w:szCs w:val="18"/>
              </w:rPr>
              <w:t>e在户外条件下使用时测试。</w:t>
            </w:r>
          </w:p>
          <w:p>
            <w:pPr>
              <w:rPr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</w:p>
          <w:p>
            <w:r>
              <w:rPr>
                <w:rFonts w:hint="eastAsia"/>
                <w:sz w:val="18"/>
                <w:szCs w:val="18"/>
              </w:rPr>
              <w:t>人工加速老化试验后性能不低于</w:t>
            </w:r>
            <w:r>
              <w:rPr>
                <w:sz w:val="18"/>
                <w:szCs w:val="18"/>
              </w:rPr>
              <w:t>GB/T 1766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2008</w:t>
            </w:r>
            <w:r>
              <w:rPr>
                <w:rFonts w:hint="eastAsia"/>
                <w:sz w:val="18"/>
                <w:szCs w:val="18"/>
              </w:rPr>
              <w:t>中保护性涂膜综合评定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级的要求。</w:t>
            </w:r>
          </w:p>
        </w:tc>
      </w:tr>
    </w:tbl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1.13无溶剂防腐涂料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1.13.1 </w:t>
      </w:r>
      <w:r>
        <w:rPr>
          <w:rFonts w:hint="eastAsia" w:asciiTheme="minorEastAsia" w:hAnsiTheme="minorEastAsia" w:eastAsiaTheme="minorEastAsia"/>
          <w:sz w:val="24"/>
          <w:szCs w:val="24"/>
        </w:rPr>
        <w:t>无溶剂防腐涂料</w:t>
      </w:r>
      <w:r>
        <w:rPr>
          <w:rFonts w:hint="eastAsia" w:ascii="宋体" w:hAnsi="宋体"/>
          <w:sz w:val="24"/>
          <w:szCs w:val="24"/>
        </w:rPr>
        <w:t>采用标准</w:t>
      </w:r>
      <w:r>
        <w:rPr>
          <w:rFonts w:hint="eastAsia" w:asciiTheme="minorEastAsia" w:hAnsiTheme="minorEastAsia" w:eastAsiaTheme="minorEastAsia"/>
          <w:sz w:val="24"/>
          <w:szCs w:val="24"/>
        </w:rPr>
        <w:t>HG/T 5177-2017《无溶剂防腐涂料》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1.13.2 </w:t>
      </w:r>
      <w:r>
        <w:rPr>
          <w:rFonts w:hint="eastAsia" w:asciiTheme="minorEastAsia" w:hAnsiTheme="minorEastAsia" w:eastAsiaTheme="minorEastAsia"/>
          <w:sz w:val="24"/>
          <w:szCs w:val="24"/>
        </w:rPr>
        <w:t>无溶剂防腐涂料</w:t>
      </w:r>
      <w:r>
        <w:rPr>
          <w:rFonts w:hint="eastAsia" w:ascii="宋体" w:hAnsi="宋体"/>
          <w:sz w:val="24"/>
          <w:szCs w:val="24"/>
        </w:rPr>
        <w:t>技术要求：</w:t>
      </w: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 w:eastAsiaTheme="minorEastAsia"/>
          <w:szCs w:val="21"/>
        </w:rPr>
        <w:t>表</w:t>
      </w:r>
      <w:r>
        <w:rPr>
          <w:rFonts w:asciiTheme="minorEastAsia" w:hAnsiTheme="minorEastAsia" w:eastAsiaTheme="minorEastAsia"/>
          <w:szCs w:val="21"/>
        </w:rPr>
        <w:t xml:space="preserve">18 </w:t>
      </w:r>
      <w:r>
        <w:rPr>
          <w:rFonts w:hint="eastAsia" w:asciiTheme="minorEastAsia" w:hAnsiTheme="minorEastAsia" w:eastAsiaTheme="minorEastAsia"/>
          <w:szCs w:val="21"/>
        </w:rPr>
        <w:t>无溶剂防腐涂料的技术要求</w:t>
      </w:r>
    </w:p>
    <w:tbl>
      <w:tblPr>
        <w:tblStyle w:val="7"/>
        <w:tblW w:w="10029" w:type="dxa"/>
        <w:tblInd w:w="-4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1759"/>
        <w:gridCol w:w="2728"/>
        <w:gridCol w:w="31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41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项目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技术指标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4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7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环氧类</w:t>
            </w:r>
          </w:p>
        </w:tc>
        <w:tc>
          <w:tcPr>
            <w:tcW w:w="3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聚氨酯类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在容器中状态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搅拌混合后应无硬块，呈均匀状态。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 xml:space="preserve">不挥发物含量/%                 </w:t>
            </w:r>
            <w:r>
              <w:rPr>
                <w:rFonts w:hint="eastAsia" w:ascii="宋体" w:hAnsi="宋体"/>
                <w:sz w:val="21"/>
                <w:szCs w:val="21"/>
              </w:rPr>
              <w:t>≥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密度</w:t>
            </w:r>
            <w:r>
              <w:rPr>
                <w:rFonts w:ascii="宋体" w:hAnsi="宋体"/>
                <w:sz w:val="21"/>
                <w:szCs w:val="21"/>
              </w:rPr>
              <w:t>/（g/ml）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商定值±0.05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流挂性</w:t>
            </w:r>
            <w:r>
              <w:rPr>
                <w:rFonts w:ascii="宋体" w:hAnsi="宋体"/>
                <w:sz w:val="21"/>
                <w:szCs w:val="21"/>
              </w:rPr>
              <w:t xml:space="preserve">/μm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>≥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350或商定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适用期（时间商定）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通过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干燥时间</w:t>
            </w:r>
            <w:r>
              <w:rPr>
                <w:rFonts w:ascii="宋体" w:hAnsi="宋体"/>
                <w:sz w:val="21"/>
                <w:szCs w:val="21"/>
              </w:rPr>
              <w:t xml:space="preserve">/h      </w:t>
            </w:r>
            <w:r>
              <w:rPr>
                <w:rFonts w:hint="eastAsia" w:ascii="宋体" w:hAnsi="宋体"/>
                <w:sz w:val="21"/>
                <w:szCs w:val="21"/>
              </w:rPr>
              <w:t>≤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表干</w:t>
            </w:r>
          </w:p>
        </w:tc>
        <w:tc>
          <w:tcPr>
            <w:tcW w:w="27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8</w:t>
            </w:r>
          </w:p>
        </w:tc>
        <w:tc>
          <w:tcPr>
            <w:tcW w:w="3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实干</w:t>
            </w:r>
          </w:p>
        </w:tc>
        <w:tc>
          <w:tcPr>
            <w:tcW w:w="27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24</w:t>
            </w:r>
          </w:p>
        </w:tc>
        <w:tc>
          <w:tcPr>
            <w:tcW w:w="3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涂膜外观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正常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耐弯曲性</w:t>
            </w:r>
          </w:p>
        </w:tc>
        <w:tc>
          <w:tcPr>
            <w:tcW w:w="27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1.5°涂层无裂纹</w:t>
            </w:r>
          </w:p>
        </w:tc>
        <w:tc>
          <w:tcPr>
            <w:tcW w:w="31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2.5°涂层无裂纹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耐冲击性（5J）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不开裂、不剥落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 xml:space="preserve">附着力（拉开法）/MPa           </w:t>
            </w:r>
            <w:r>
              <w:rPr>
                <w:rFonts w:hint="eastAsia" w:ascii="宋体" w:hAnsi="宋体"/>
                <w:sz w:val="21"/>
                <w:szCs w:val="21"/>
              </w:rPr>
              <w:t>≥</w:t>
            </w:r>
          </w:p>
        </w:tc>
        <w:tc>
          <w:tcPr>
            <w:tcW w:w="2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8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耐磨性（</w:t>
            </w:r>
            <w:r>
              <w:rPr>
                <w:rFonts w:ascii="宋体"/>
                <w:sz w:val="21"/>
                <w:szCs w:val="21"/>
              </w:rPr>
              <w:t>1000g</w:t>
            </w:r>
            <w:r>
              <w:rPr>
                <w:rFonts w:hint="eastAsia" w:ascii="宋体"/>
                <w:sz w:val="21"/>
                <w:szCs w:val="21"/>
              </w:rPr>
              <w:t xml:space="preserve">/1000r）/g        </w:t>
            </w:r>
            <w:r>
              <w:rPr>
                <w:rFonts w:hint="eastAsia" w:ascii="宋体" w:hAnsi="宋体"/>
                <w:sz w:val="21"/>
                <w:szCs w:val="21"/>
              </w:rPr>
              <w:t>≤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0.10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耐酸性（10%硫酸溶液，168h）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不起泡、不生锈、不开裂、不剥落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耐碱性（10%氢氧化钠溶液，168h）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不起泡、不生锈、不开裂、不剥落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耐油性（0号柴油，168h）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不起泡、不起皱、不开裂、不剥落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耐盐雾性（1000h）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不起泡、不生锈、不开裂、不剥落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耐湿热性（720h）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不起泡、不生锈、不开裂、不剥落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耐人工气候老化性</w:t>
            </w:r>
            <w:r>
              <w:rPr>
                <w:rFonts w:ascii="宋体"/>
                <w:sz w:val="21"/>
                <w:szCs w:val="21"/>
                <w:vertAlign w:val="superscript"/>
              </w:rPr>
              <w:t>a</w:t>
            </w:r>
            <w:r>
              <w:rPr>
                <w:rFonts w:hint="eastAsia" w:ascii="宋体"/>
                <w:sz w:val="21"/>
                <w:szCs w:val="21"/>
              </w:rPr>
              <w:t>（500h）</w:t>
            </w:r>
          </w:p>
        </w:tc>
        <w:tc>
          <w:tcPr>
            <w:tcW w:w="2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—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不起泡、不生锈、不开裂、不剥落、不粉化，变色</w:t>
            </w:r>
            <w:r>
              <w:rPr>
                <w:rFonts w:hint="eastAsia" w:ascii="宋体" w:hAnsi="宋体"/>
                <w:sz w:val="21"/>
                <w:szCs w:val="21"/>
              </w:rPr>
              <w:t>≤</w:t>
            </w:r>
            <w:r>
              <w:rPr>
                <w:rFonts w:ascii="宋体" w:hAnsi="宋体"/>
                <w:sz w:val="21"/>
                <w:szCs w:val="21"/>
              </w:rPr>
              <w:t>2级、失光≤2级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抗氯离子渗透性</w:t>
            </w:r>
            <w:r>
              <w:rPr>
                <w:rFonts w:ascii="宋体"/>
                <w:sz w:val="21"/>
                <w:szCs w:val="21"/>
                <w:vertAlign w:val="superscript"/>
              </w:rPr>
              <w:t>b</w:t>
            </w:r>
            <w:r>
              <w:rPr>
                <w:rFonts w:hint="eastAsia" w:ascii="宋体"/>
                <w:sz w:val="21"/>
                <w:szCs w:val="21"/>
              </w:rPr>
              <w:t>/[mg/（cm</w:t>
            </w:r>
            <w:r>
              <w:rPr>
                <w:rFonts w:ascii="宋体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/>
                <w:sz w:val="21"/>
                <w:szCs w:val="21"/>
              </w:rPr>
              <w:t>·d）]</w:t>
            </w:r>
            <w:r>
              <w:rPr>
                <w:rFonts w:ascii="宋体" w:hAnsi="宋体"/>
                <w:sz w:val="21"/>
                <w:szCs w:val="21"/>
              </w:rPr>
              <w:t xml:space="preserve"> ≤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5.0×10</w:t>
            </w:r>
            <w:r>
              <w:rPr>
                <w:rFonts w:ascii="宋体"/>
                <w:sz w:val="21"/>
                <w:szCs w:val="21"/>
                <w:vertAlign w:val="superscript"/>
              </w:rPr>
              <w:t>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耐阴极剥离性</w:t>
            </w:r>
            <w:r>
              <w:rPr>
                <w:rFonts w:ascii="宋体"/>
                <w:sz w:val="21"/>
                <w:szCs w:val="21"/>
                <w:vertAlign w:val="superscript"/>
              </w:rPr>
              <w:t>c</w:t>
            </w:r>
            <w:r>
              <w:rPr>
                <w:rFonts w:ascii="宋体"/>
                <w:sz w:val="21"/>
                <w:szCs w:val="21"/>
              </w:rPr>
              <w:t xml:space="preserve">/mm               </w:t>
            </w:r>
            <w:r>
              <w:rPr>
                <w:rFonts w:hint="eastAsia" w:ascii="宋体" w:hAnsi="宋体"/>
                <w:sz w:val="21"/>
                <w:szCs w:val="21"/>
              </w:rPr>
              <w:t>≤</w:t>
            </w:r>
          </w:p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[1.5V，（65±2）℃/48h]</w:t>
            </w:r>
          </w:p>
        </w:tc>
        <w:tc>
          <w:tcPr>
            <w:tcW w:w="59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tabs>
                <w:tab w:val="clear" w:pos="360"/>
              </w:tabs>
              <w:ind w:left="544" w:hanging="18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外用型产品测试。</w:t>
            </w:r>
          </w:p>
          <w:p>
            <w:pPr>
              <w:pStyle w:val="11"/>
              <w:tabs>
                <w:tab w:val="clear" w:pos="360"/>
              </w:tabs>
              <w:ind w:left="544" w:hanging="18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用于海洋工程的产品测试。</w:t>
            </w:r>
          </w:p>
          <w:p>
            <w:pPr>
              <w:pStyle w:val="11"/>
              <w:tabs>
                <w:tab w:val="clear" w:pos="360"/>
              </w:tabs>
              <w:ind w:left="544" w:hanging="18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基材采用阴极保护时测试。</w:t>
            </w:r>
          </w:p>
        </w:tc>
      </w:tr>
    </w:tbl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1.14聚天门冬氨酸酯防腐涂料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1.14.1</w:t>
      </w:r>
      <w:r>
        <w:rPr>
          <w:rFonts w:hint="eastAsia" w:asciiTheme="minorEastAsia" w:hAnsiTheme="minorEastAsia" w:eastAsiaTheme="minorEastAsia"/>
          <w:sz w:val="24"/>
          <w:szCs w:val="24"/>
        </w:rPr>
        <w:t>聚天门冬氨酸酯防腐涂料</w:t>
      </w:r>
      <w:r>
        <w:rPr>
          <w:rFonts w:hint="eastAsia" w:ascii="宋体" w:hAnsi="宋体"/>
          <w:sz w:val="24"/>
          <w:szCs w:val="24"/>
        </w:rPr>
        <w:t>采用标准</w:t>
      </w:r>
      <w:r>
        <w:rPr>
          <w:rFonts w:hint="eastAsia" w:asciiTheme="minorEastAsia" w:hAnsiTheme="minorEastAsia" w:eastAsiaTheme="minorEastAsia"/>
          <w:sz w:val="24"/>
          <w:szCs w:val="24"/>
        </w:rPr>
        <w:t>HG/T 5368-2018《聚天门冬氨酸酯防腐涂料》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1.14.2</w:t>
      </w:r>
      <w:r>
        <w:rPr>
          <w:rFonts w:hint="eastAsia" w:asciiTheme="minorEastAsia" w:hAnsiTheme="minorEastAsia" w:eastAsiaTheme="minorEastAsia"/>
          <w:sz w:val="24"/>
          <w:szCs w:val="24"/>
        </w:rPr>
        <w:t>聚天门冬氨酸酯防腐涂料</w:t>
      </w:r>
      <w:r>
        <w:rPr>
          <w:rFonts w:hint="eastAsia" w:ascii="宋体" w:hAnsi="宋体"/>
          <w:sz w:val="24"/>
          <w:szCs w:val="24"/>
        </w:rPr>
        <w:t>技术要求：</w:t>
      </w:r>
    </w:p>
    <w:p>
      <w:pPr>
        <w:autoSpaceDE w:val="0"/>
        <w:autoSpaceDN w:val="0"/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表19 </w:t>
      </w:r>
      <w:r>
        <w:rPr>
          <w:rFonts w:hint="eastAsia" w:asciiTheme="minorEastAsia" w:hAnsiTheme="minorEastAsia" w:eastAsiaTheme="minorEastAsia"/>
          <w:sz w:val="24"/>
          <w:szCs w:val="24"/>
        </w:rPr>
        <w:t>聚天门冬氨酸酯防腐涂料</w:t>
      </w:r>
      <w:r>
        <w:rPr>
          <w:rFonts w:hint="eastAsia" w:ascii="宋体" w:hAnsi="宋体"/>
          <w:szCs w:val="21"/>
        </w:rPr>
        <w:t>的技术要求</w:t>
      </w:r>
    </w:p>
    <w:tbl>
      <w:tblPr>
        <w:tblStyle w:val="7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61"/>
        <w:gridCol w:w="3076"/>
        <w:gridCol w:w="3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序号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项目</w:t>
            </w:r>
          </w:p>
        </w:tc>
        <w:tc>
          <w:tcPr>
            <w:tcW w:w="3870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在容器中状态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搅拌混合后无硬块，呈均匀状态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4337" w:type="dxa"/>
            <w:gridSpan w:val="2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挥发性有机化合物（</w:t>
            </w:r>
            <w:r>
              <w:rPr>
                <w:rFonts w:asciiTheme="minorEastAsia" w:hAnsiTheme="minorEastAsia" w:eastAsiaTheme="minorEastAsia"/>
                <w:szCs w:val="21"/>
              </w:rPr>
              <w:t>VOC）含量，g/L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</w:t>
            </w:r>
            <w:r>
              <w:rPr>
                <w:rFonts w:asciiTheme="minorEastAsia" w:hAnsiTheme="minorEastAsia" w:eastAsiaTheme="minorEastAsia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4337" w:type="dxa"/>
            <w:gridSpan w:val="2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不挥发物含量，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%              </w:t>
            </w:r>
          </w:p>
        </w:tc>
        <w:tc>
          <w:tcPr>
            <w:tcW w:w="3870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</w:t>
            </w:r>
            <w:r>
              <w:rPr>
                <w:rFonts w:asciiTheme="minorEastAsia" w:hAnsiTheme="minorEastAsia" w:eastAsiaTheme="minorEastAsia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密度，</w:t>
            </w:r>
            <w:r>
              <w:rPr>
                <w:rFonts w:asciiTheme="minorEastAsia" w:hAnsiTheme="minorEastAsia" w:eastAsiaTheme="minorEastAsia"/>
                <w:szCs w:val="21"/>
              </w:rPr>
              <w:t>g/mL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商定值±</w:t>
            </w:r>
            <w:r>
              <w:rPr>
                <w:rFonts w:asciiTheme="minorEastAsia" w:hAnsiTheme="minorEastAsia" w:eastAsiaTheme="minorEastAsia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流挂性，μ</w:t>
            </w:r>
            <w:r>
              <w:rPr>
                <w:rFonts w:asciiTheme="minorEastAsia" w:hAnsiTheme="minorEastAsia" w:eastAsiaTheme="minorEastAsia"/>
                <w:szCs w:val="21"/>
              </w:rPr>
              <w:t>m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适用期（时间商定）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4337" w:type="dxa"/>
            <w:gridSpan w:val="2"/>
          </w:tcPr>
          <w:p>
            <w:pPr>
              <w:autoSpaceDE/>
              <w:autoSpaceDN/>
              <w:spacing w:line="28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干燥时间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（表干）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/h       </w:t>
            </w:r>
          </w:p>
          <w:p>
            <w:pPr>
              <w:autoSpaceDE/>
              <w:autoSpaceDN/>
              <w:spacing w:line="280" w:lineRule="exact"/>
              <w:ind w:firstLine="1260" w:firstLineChars="6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（实干）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/h       </w:t>
            </w:r>
          </w:p>
        </w:tc>
        <w:tc>
          <w:tcPr>
            <w:tcW w:w="3870" w:type="dxa"/>
          </w:tcPr>
          <w:p>
            <w:pPr>
              <w:autoSpaceDE/>
              <w:autoSpaceDN/>
              <w:spacing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</w:p>
          <w:p>
            <w:pPr>
              <w:autoSpaceDE/>
              <w:autoSpaceDN/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</w:t>
            </w:r>
            <w:r>
              <w:rPr>
                <w:rFonts w:asciiTheme="minorEastAsia" w:hAnsiTheme="minorEastAsia" w:eastAsiaTheme="minorEastAsia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涂膜外观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弯曲试验，</w:t>
            </w:r>
            <w:r>
              <w:rPr>
                <w:rFonts w:asciiTheme="minorEastAsia" w:hAnsiTheme="minorEastAsia" w:eastAsiaTheme="minorEastAsia"/>
                <w:szCs w:val="21"/>
              </w:rPr>
              <w:t>mm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耐冲击性，</w:t>
            </w:r>
            <w:r>
              <w:rPr>
                <w:rFonts w:asciiTheme="minorEastAsia" w:hAnsiTheme="minorEastAsia" w:eastAsiaTheme="minorEastAsia"/>
                <w:szCs w:val="21"/>
              </w:rPr>
              <w:t>cm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光泽（</w:t>
            </w:r>
            <w:r>
              <w:rPr>
                <w:rFonts w:asciiTheme="minorEastAsia" w:hAnsiTheme="minorEastAsia" w:eastAsiaTheme="minorEastAsia"/>
                <w:szCs w:val="21"/>
              </w:rPr>
              <w:t>60°）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耐磨性（</w:t>
            </w:r>
            <w:r>
              <w:rPr>
                <w:rFonts w:asciiTheme="minorEastAsia" w:hAnsiTheme="minorEastAsia" w:eastAsiaTheme="minorEastAsia"/>
                <w:szCs w:val="21"/>
              </w:rPr>
              <w:t>1000g/1000r），g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≤</w:t>
            </w:r>
            <w:r>
              <w:rPr>
                <w:rFonts w:asciiTheme="minorEastAsia" w:hAnsiTheme="minorEastAsia" w:eastAsiaTheme="minorEastAsia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13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铅笔硬度（擦伤）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</w:t>
            </w:r>
            <w:r>
              <w:rPr>
                <w:rFonts w:asciiTheme="minorEastAsia" w:hAnsiTheme="minorEastAsia" w:eastAsiaTheme="minorEastAsia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14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附着力（拉开法），MPa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≥</w:t>
            </w:r>
            <w:r>
              <w:rPr>
                <w:rFonts w:asciiTheme="minorEastAsia" w:hAnsiTheme="minorEastAsia" w:eastAsiaTheme="minorEastAsia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15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耐酸性</w:t>
            </w:r>
            <w:r>
              <w:rPr>
                <w:rFonts w:asciiTheme="minorEastAsia" w:hAnsiTheme="minorEastAsia" w:eastAsiaTheme="minorEastAsia"/>
                <w:szCs w:val="21"/>
              </w:rPr>
              <w:t>[5%（质量分数）硫酸溶液，168h]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不起泡、不生锈、不开裂、不剥落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16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耐碱性</w:t>
            </w:r>
            <w:r>
              <w:rPr>
                <w:rFonts w:asciiTheme="minorEastAsia" w:hAnsiTheme="minorEastAsia" w:eastAsiaTheme="minorEastAsia"/>
                <w:szCs w:val="21"/>
              </w:rPr>
              <w:t>[5%（质量分数）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氢氧化钠溶液，</w:t>
            </w:r>
            <w:r>
              <w:rPr>
                <w:rFonts w:asciiTheme="minorEastAsia" w:hAnsiTheme="minorEastAsia" w:eastAsiaTheme="minorEastAsia"/>
                <w:szCs w:val="21"/>
              </w:rPr>
              <w:t>168h]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不起泡、不生锈、不开裂、不剥落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17</w:t>
            </w:r>
          </w:p>
        </w:tc>
        <w:tc>
          <w:tcPr>
            <w:tcW w:w="433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耐人工气候老化性（</w:t>
            </w:r>
            <w:r>
              <w:rPr>
                <w:rFonts w:asciiTheme="minorEastAsia" w:hAnsiTheme="minorEastAsia" w:eastAsiaTheme="minorEastAsia"/>
                <w:szCs w:val="21"/>
              </w:rPr>
              <w:t>1500h）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不起泡、不生锈、不开裂、不剥落、不粉化，变色≤</w:t>
            </w:r>
            <w:r>
              <w:rPr>
                <w:rFonts w:asciiTheme="minorEastAsia" w:hAnsiTheme="minorEastAsia" w:eastAsiaTheme="minorEastAsia"/>
                <w:szCs w:val="21"/>
              </w:rPr>
              <w:t>2级，失光≤2级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7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18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耐湿性</w:t>
            </w:r>
          </w:p>
        </w:tc>
        <w:tc>
          <w:tcPr>
            <w:tcW w:w="30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  <w:shd w:val="clear" w:color="auto" w:fill="auto"/>
              </w:rPr>
              <w:t>[大气腐蚀性等级（C2~C3）]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  <w:shd w:val="clear" w:color="auto" w:fill="auto"/>
              </w:rPr>
              <w:t>240h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shd w:val="clear" w:color="auto" w:fill="auto"/>
              </w:rPr>
              <w:t>不起泡、不生锈、不开裂、不剥落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0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  <w:shd w:val="clear" w:color="auto" w:fill="auto"/>
              </w:rPr>
              <w:t>[大气腐蚀性等级（C4~C5）]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  <w:shd w:val="clear" w:color="auto" w:fill="auto"/>
              </w:rPr>
              <w:t>720h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shd w:val="clear" w:color="auto" w:fill="auto"/>
              </w:rPr>
              <w:t>不起泡、不生锈、不开裂、不剥落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耐盐雾性</w:t>
            </w:r>
          </w:p>
        </w:tc>
        <w:tc>
          <w:tcPr>
            <w:tcW w:w="30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  <w:shd w:val="clear" w:color="auto" w:fill="auto"/>
              </w:rPr>
              <w:t>[大气腐蚀性等级（C2~C3）]</w:t>
            </w:r>
          </w:p>
        </w:tc>
        <w:tc>
          <w:tcPr>
            <w:tcW w:w="3870" w:type="dxa"/>
            <w:vAlign w:val="center"/>
          </w:tcPr>
          <w:p>
            <w:pPr>
              <w:autoSpaceDE/>
              <w:autoSpaceDN/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  <w:t>480h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不起泡、不生锈、不开裂、不剥落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0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  <w:shd w:val="clear" w:color="auto" w:fill="auto"/>
              </w:rPr>
              <w:t>[大气腐蚀性等级（C4~C5）]</w:t>
            </w:r>
          </w:p>
        </w:tc>
        <w:tc>
          <w:tcPr>
            <w:tcW w:w="387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  <w:shd w:val="clear" w:color="auto" w:fill="auto"/>
              </w:rPr>
              <w:t>1440h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shd w:val="clear" w:color="auto" w:fill="auto"/>
              </w:rPr>
              <w:t>不起泡、不生锈、不开裂、不剥落</w:t>
            </w:r>
          </w:p>
        </w:tc>
      </w:tr>
    </w:tbl>
    <w:p>
      <w:pPr>
        <w:autoSpaceDE w:val="0"/>
        <w:autoSpaceDN w:val="0"/>
        <w:spacing w:line="360" w:lineRule="auto"/>
        <w:jc w:val="center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1.15 聚氯乙烯含氟萤丹涂料</w:t>
      </w: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1.15.1聚氯乙烯含氟萤丹涂料采用标准</w:t>
      </w:r>
      <w:r>
        <w:rPr>
          <w:rFonts w:ascii="宋体" w:hAnsi="宋体"/>
          <w:sz w:val="24"/>
          <w:szCs w:val="24"/>
        </w:rPr>
        <w:t>Q/LL018-2011</w:t>
      </w:r>
      <w:r>
        <w:rPr>
          <w:rFonts w:hint="eastAsia" w:ascii="宋体" w:hAnsi="宋体"/>
          <w:sz w:val="24"/>
          <w:szCs w:val="24"/>
        </w:rPr>
        <w:t>《聚氯乙烯含氟萤丹涂料》。</w:t>
      </w:r>
    </w:p>
    <w:p>
      <w:pPr>
        <w:autoSpaceDE w:val="0"/>
        <w:autoSpaceDN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1.15.2聚氯乙烯含氟萤丹涂料技术要求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cs="黑体" w:asciiTheme="minorEastAsia" w:hAnsiTheme="minorEastAsia" w:eastAsiaTheme="minorEastAsia"/>
        </w:rPr>
      </w:pPr>
      <w:r>
        <w:rPr>
          <w:rFonts w:hint="eastAsia" w:cs="黑体" w:asciiTheme="minorEastAsia" w:hAnsiTheme="minorEastAsia" w:eastAsiaTheme="minorEastAsia"/>
        </w:rPr>
        <w:t>表20聚氯乙烯含氟萤丹涂料技术要求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851"/>
        <w:gridCol w:w="2364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项目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单位</w:t>
            </w:r>
          </w:p>
        </w:tc>
        <w:tc>
          <w:tcPr>
            <w:tcW w:w="47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底漆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面漆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漆膜颜色及外观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47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符合标准样板及色差范围，漆膜平整光滑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粘度（涂-4粘度杯）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s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≥100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≥100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细度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μ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m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≤100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≤100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943" w:type="dxa"/>
          </w:tcPr>
          <w:p>
            <w:pPr>
              <w:wordWrap w:val="0"/>
              <w:jc w:val="righ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干燥时间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表干</w:t>
            </w:r>
          </w:p>
          <w:p>
            <w:pPr>
              <w:jc w:val="righ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            实干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h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h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≤2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≤24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≤2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≤24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柔韧性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mm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附着力（划圈法）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级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≤2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耐冲击性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cm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50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不挥发物含量（甲组份）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％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≥35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≥30</w:t>
            </w:r>
          </w:p>
        </w:tc>
      </w:tr>
    </w:tbl>
    <w:p>
      <w:pPr>
        <w:rPr>
          <w:sz w:val="18"/>
          <w:szCs w:val="18"/>
        </w:rPr>
      </w:pPr>
    </w:p>
    <w:p>
      <w:pPr>
        <w:jc w:val="center"/>
        <w:rPr>
          <w:rFonts w:cs="黑体" w:asciiTheme="minorEastAsia" w:hAnsiTheme="minorEastAsia" w:eastAsiaTheme="minorEastAsia"/>
        </w:rPr>
      </w:pPr>
    </w:p>
    <w:p>
      <w:pPr>
        <w:jc w:val="center"/>
        <w:rPr>
          <w:rFonts w:cs="黑体" w:asciiTheme="minorEastAsia" w:hAnsiTheme="minorEastAsia" w:eastAsiaTheme="minorEastAsia"/>
        </w:rPr>
      </w:pPr>
      <w:r>
        <w:rPr>
          <w:rFonts w:hint="eastAsia" w:cs="黑体" w:asciiTheme="minorEastAsia" w:hAnsiTheme="minorEastAsia" w:eastAsiaTheme="minorEastAsia"/>
        </w:rPr>
        <w:t>表21 聚氯乙烯含氟萤丹涂料耐腐蚀性能技术要求</w:t>
      </w:r>
    </w:p>
    <w:tbl>
      <w:tblPr>
        <w:tblStyle w:val="8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8"/>
        <w:gridCol w:w="715"/>
        <w:gridCol w:w="805"/>
        <w:gridCol w:w="1112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438" w:type="dxa"/>
            <w:vAlign w:val="center"/>
          </w:tcPr>
          <w:p>
            <w:pPr>
              <w:numPr>
                <w:ilvl w:val="0"/>
                <w:numId w:val="2"/>
              </w:numPr>
              <w:spacing w:beforeLines="100" w:afterLines="100"/>
              <w:jc w:val="center"/>
              <w:outlineLvl w:val="1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介质</w:t>
            </w:r>
          </w:p>
        </w:tc>
        <w:tc>
          <w:tcPr>
            <w:tcW w:w="715" w:type="dxa"/>
            <w:vAlign w:val="center"/>
          </w:tcPr>
          <w:p>
            <w:pPr>
              <w:numPr>
                <w:ilvl w:val="0"/>
                <w:numId w:val="2"/>
              </w:numPr>
              <w:spacing w:beforeLines="100" w:afterLines="100"/>
              <w:jc w:val="center"/>
              <w:outlineLvl w:val="1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单位</w:t>
            </w:r>
          </w:p>
        </w:tc>
        <w:tc>
          <w:tcPr>
            <w:tcW w:w="805" w:type="dxa"/>
            <w:vAlign w:val="center"/>
          </w:tcPr>
          <w:p>
            <w:pPr>
              <w:numPr>
                <w:ilvl w:val="0"/>
                <w:numId w:val="2"/>
              </w:numPr>
              <w:spacing w:beforeLines="100" w:afterLines="100"/>
              <w:jc w:val="center"/>
              <w:outlineLvl w:val="1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浓度（%）</w:t>
            </w:r>
          </w:p>
        </w:tc>
        <w:tc>
          <w:tcPr>
            <w:tcW w:w="1112" w:type="dxa"/>
            <w:vAlign w:val="center"/>
          </w:tcPr>
          <w:p>
            <w:pPr>
              <w:numPr>
                <w:ilvl w:val="0"/>
                <w:numId w:val="2"/>
              </w:numPr>
              <w:spacing w:beforeLines="100" w:afterLines="100"/>
              <w:jc w:val="center"/>
              <w:outlineLvl w:val="1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浸泡时间（h）</w:t>
            </w:r>
          </w:p>
        </w:tc>
        <w:tc>
          <w:tcPr>
            <w:tcW w:w="2666" w:type="dxa"/>
            <w:vAlign w:val="center"/>
          </w:tcPr>
          <w:p>
            <w:pPr>
              <w:numPr>
                <w:ilvl w:val="0"/>
                <w:numId w:val="2"/>
              </w:numPr>
              <w:spacing w:beforeLines="100" w:afterLines="100"/>
              <w:jc w:val="center"/>
              <w:outlineLvl w:val="1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4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硫酸（H2SO4）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%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≤60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72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不起泡、不剥落、允许变色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4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盐酸（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HCl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%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≤30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72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不起泡、不剥落、允许变色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4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硝酸（HNO3）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%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≤30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72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不起泡、不剥落、允许变色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4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氢氧化钠（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NaOH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%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≤10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72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不起泡、不剥落、允许变色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含HF、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  <w:t>HCl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、SO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、Cl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、NH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1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等一种或数种气体环境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任意浓度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不起泡、不剥落、允许变色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736" w:type="dxa"/>
            <w:gridSpan w:val="5"/>
          </w:tcPr>
          <w:p>
            <w:pP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注：做耐化学试剂测试时，试棒需浸涂三底三面涂料。</w:t>
            </w:r>
          </w:p>
        </w:tc>
      </w:tr>
    </w:tbl>
    <w:p/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第二部分  钢结构防腐蚀涂料试验方法</w:t>
      </w:r>
    </w:p>
    <w:p>
      <w:pPr>
        <w:autoSpaceDE w:val="0"/>
        <w:autoSpaceDN w:val="0"/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autoSpaceDE w:val="0"/>
        <w:autoSpaceDN w:val="0"/>
        <w:spacing w:line="48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表18 试验方法标准汇总表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379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标准编号及标准名称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 30981-2020 工业防护涂料中有害物质限量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1724 色漆、清漆和印刷油墨研磨细度的测定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1725-2007 色漆、清漆和塑料 不挥发物含量的测定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1726-1979</w:t>
            </w:r>
            <w:r>
              <w:rPr>
                <w:sz w:val="24"/>
                <w:szCs w:val="24"/>
              </w:rPr>
              <w:t>（1989）</w:t>
            </w:r>
            <w:r>
              <w:rPr>
                <w:rFonts w:hint="eastAsia"/>
                <w:sz w:val="24"/>
                <w:szCs w:val="24"/>
              </w:rPr>
              <w:t xml:space="preserve"> 涂料遮盖力测定法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1728 漆膜、腻子膜干燥时间测定法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1732 漆膜耐冲击测定法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1733-1993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漆膜耐水性测定法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1740-2007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漆膜耐湿热测定法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1768-2006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漆膜耐磨性测定法   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1771-2007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色漆和清漆  耐中性盐雾性能的测定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1865-2009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色漆和清漆 人工气候老化和人工辐射曝露 滤过的氙弧辐射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5210-2006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涂层附着力的测定法拉开法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6739-2006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涂膜硬度铅笔测定法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6742-2007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色漆和清漆弯曲试验(圆柱轴)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6750-2007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色漆和清漆  密度的测定比重瓶法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6753.1-2007 色漆、清漆和印刷油墨 研磨细度的测定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GB/T 6753.3-1986 涂料贮存稳定性试验方法 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6753.4-1998 涂料流出时间的测定  ISO流量杯法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9264-2012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色漆和清漆 抗流挂性评定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9274-1988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色漆和清漆耐液体介质的测定  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9286-1998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色漆和清漆漆膜的划格试验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9754-2007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色漆和清漆 不含金属颜料的色漆漆膜之20°、60°和85°镜面光泽的测定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GB/T 13452.2-2008 色漆和清漆 漆膜厚度的测定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GB/T 13893-2008 色漆和清漆耐湿性的测定连续冷凝法 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ASTM D6580-2000(2009) 测定粉颜料和富涂料凝固膜中金属含量的试验方法</w:t>
            </w:r>
          </w:p>
        </w:tc>
        <w:tc>
          <w:tcPr>
            <w:tcW w:w="11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4"/>
          <w:szCs w:val="24"/>
        </w:rPr>
        <w:t>中国钢结构协会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highlight w:val="none"/>
        </w:rPr>
        <w:t>二</w:t>
      </w:r>
      <w:r>
        <w:rPr>
          <w:sz w:val="24"/>
          <w:szCs w:val="24"/>
          <w:highlight w:val="none"/>
        </w:rPr>
        <w:t>O</w:t>
      </w:r>
      <w:r>
        <w:rPr>
          <w:rFonts w:hint="eastAsia"/>
          <w:sz w:val="24"/>
          <w:szCs w:val="24"/>
          <w:highlight w:val="none"/>
        </w:rPr>
        <w:t>二一年六月廿一日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DE2B46"/>
    <w:multiLevelType w:val="multilevel"/>
    <w:tmpl w:val="0DDE2B46"/>
    <w:lvl w:ilvl="0" w:tentative="0">
      <w:start w:val="0"/>
      <w:numFmt w:val="none"/>
      <w:pStyle w:val="11"/>
      <w:lvlText w:val=""/>
      <w:lvlJc w:val="left"/>
      <w:pPr>
        <w:tabs>
          <w:tab w:val="left" w:pos="360"/>
        </w:tabs>
      </w:p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14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3"/>
      <w:suff w:val="nothing"/>
      <w:lvlText w:val="%1.%2　"/>
      <w:lvlJc w:val="left"/>
      <w:pPr>
        <w:ind w:left="42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63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6"/>
      <w:suff w:val="nothing"/>
      <w:lvlText w:val="%1.%2.%3.%4　"/>
      <w:lvlJc w:val="left"/>
      <w:pPr>
        <w:ind w:left="84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557C2AF5"/>
    <w:multiLevelType w:val="multilevel"/>
    <w:tmpl w:val="557C2AF5"/>
    <w:lvl w:ilvl="0" w:tentative="0">
      <w:start w:val="1"/>
      <w:numFmt w:val="decimal"/>
      <w:pStyle w:val="26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5BEF23E2"/>
    <w:multiLevelType w:val="multilevel"/>
    <w:tmpl w:val="5BEF23E2"/>
    <w:lvl w:ilvl="0" w:tentative="0">
      <w:start w:val="1"/>
      <w:numFmt w:val="decimal"/>
      <w:lvlText w:val="%1"/>
      <w:lvlJc w:val="left"/>
      <w:pPr>
        <w:ind w:left="720" w:hanging="720"/>
      </w:pPr>
      <w:rPr>
        <w:rFonts w:hint="default" w:ascii="宋体" w:hAnsi="宋体"/>
      </w:rPr>
    </w:lvl>
    <w:lvl w:ilvl="1" w:tentative="0">
      <w:start w:val="12"/>
      <w:numFmt w:val="decimal"/>
      <w:lvlText w:val="%1.%2"/>
      <w:lvlJc w:val="left"/>
      <w:pPr>
        <w:ind w:left="720" w:hanging="720"/>
      </w:pPr>
      <w:rPr>
        <w:rFonts w:hint="default" w:ascii="宋体" w:hAnsi="宋体"/>
      </w:rPr>
    </w:lvl>
    <w:lvl w:ilvl="2" w:tentative="0">
      <w:start w:val="2"/>
      <w:numFmt w:val="decimal"/>
      <w:lvlText w:val="%1.%2.%3"/>
      <w:lvlJc w:val="left"/>
      <w:pPr>
        <w:ind w:left="720" w:hanging="720"/>
      </w:pPr>
      <w:rPr>
        <w:rFonts w:hint="default" w:ascii="宋体" w:hAnsi="宋体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 w:ascii="宋体" w:hAnsi="宋体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 w:ascii="宋体" w:hAnsi="宋体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 w:ascii="宋体" w:hAnsi="宋体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 w:ascii="宋体" w:hAnsi="宋体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 w:ascii="宋体" w:hAnsi="宋体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 w:ascii="宋体" w:hAnsi="宋体"/>
      </w:rPr>
    </w:lvl>
  </w:abstractNum>
  <w:abstractNum w:abstractNumId="4">
    <w:nsid w:val="646260FA"/>
    <w:multiLevelType w:val="multilevel"/>
    <w:tmpl w:val="646260FA"/>
    <w:lvl w:ilvl="0" w:tentative="0">
      <w:start w:val="1"/>
      <w:numFmt w:val="decimal"/>
      <w:pStyle w:val="25"/>
      <w:suff w:val="nothing"/>
      <w:lvlText w:val="表%1　"/>
      <w:lvlJc w:val="left"/>
      <w:pPr>
        <w:ind w:left="3119" w:firstLine="0"/>
      </w:pPr>
      <w:rPr>
        <w:rFonts w:hint="eastAsia" w:ascii="黑体" w:hAnsi="Times New Roman" w:eastAsia="黑体"/>
        <w:b w:val="0"/>
        <w:i w:val="0"/>
        <w:sz w:val="21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MTkyNmE1NTcyNmIzOTcwZmU1OWEyMTZjZjRmZGQifQ=="/>
  </w:docVars>
  <w:rsids>
    <w:rsidRoot w:val="00462AED"/>
    <w:rsid w:val="00002245"/>
    <w:rsid w:val="00010CE9"/>
    <w:rsid w:val="00025F83"/>
    <w:rsid w:val="00061B28"/>
    <w:rsid w:val="0007207C"/>
    <w:rsid w:val="00072C40"/>
    <w:rsid w:val="00076471"/>
    <w:rsid w:val="00081CF0"/>
    <w:rsid w:val="000B38EA"/>
    <w:rsid w:val="000B6017"/>
    <w:rsid w:val="000B6925"/>
    <w:rsid w:val="000E76A3"/>
    <w:rsid w:val="000F466C"/>
    <w:rsid w:val="00117FF7"/>
    <w:rsid w:val="00122F6D"/>
    <w:rsid w:val="00132807"/>
    <w:rsid w:val="00162B0F"/>
    <w:rsid w:val="00166FC5"/>
    <w:rsid w:val="001752BF"/>
    <w:rsid w:val="001760B2"/>
    <w:rsid w:val="001B042A"/>
    <w:rsid w:val="001B1275"/>
    <w:rsid w:val="001B509F"/>
    <w:rsid w:val="001C3822"/>
    <w:rsid w:val="001C3C84"/>
    <w:rsid w:val="001C5287"/>
    <w:rsid w:val="00203E9D"/>
    <w:rsid w:val="0023187D"/>
    <w:rsid w:val="002352B2"/>
    <w:rsid w:val="00240B6C"/>
    <w:rsid w:val="00252DDF"/>
    <w:rsid w:val="00257F9C"/>
    <w:rsid w:val="002756DF"/>
    <w:rsid w:val="0028007D"/>
    <w:rsid w:val="00285E16"/>
    <w:rsid w:val="002B475C"/>
    <w:rsid w:val="002C4802"/>
    <w:rsid w:val="002C6B41"/>
    <w:rsid w:val="002D4C7A"/>
    <w:rsid w:val="002D5EC9"/>
    <w:rsid w:val="002D6DA6"/>
    <w:rsid w:val="002F37C3"/>
    <w:rsid w:val="00300089"/>
    <w:rsid w:val="00301D95"/>
    <w:rsid w:val="0030524D"/>
    <w:rsid w:val="00316C40"/>
    <w:rsid w:val="00323BB0"/>
    <w:rsid w:val="00326653"/>
    <w:rsid w:val="00332CD4"/>
    <w:rsid w:val="003537DD"/>
    <w:rsid w:val="003548EE"/>
    <w:rsid w:val="00371A41"/>
    <w:rsid w:val="003A09D6"/>
    <w:rsid w:val="003B7ED6"/>
    <w:rsid w:val="003E4187"/>
    <w:rsid w:val="003F36B9"/>
    <w:rsid w:val="003F4ACE"/>
    <w:rsid w:val="004002B6"/>
    <w:rsid w:val="00412589"/>
    <w:rsid w:val="00416989"/>
    <w:rsid w:val="00416DE1"/>
    <w:rsid w:val="00454F2E"/>
    <w:rsid w:val="004552BB"/>
    <w:rsid w:val="00456E5A"/>
    <w:rsid w:val="00460A86"/>
    <w:rsid w:val="00462AED"/>
    <w:rsid w:val="004A23BA"/>
    <w:rsid w:val="004A2516"/>
    <w:rsid w:val="004A73DB"/>
    <w:rsid w:val="004B2307"/>
    <w:rsid w:val="004B2913"/>
    <w:rsid w:val="004C1E69"/>
    <w:rsid w:val="004E23C7"/>
    <w:rsid w:val="004E2603"/>
    <w:rsid w:val="004F36EC"/>
    <w:rsid w:val="00505611"/>
    <w:rsid w:val="00505C13"/>
    <w:rsid w:val="0051146C"/>
    <w:rsid w:val="00516649"/>
    <w:rsid w:val="0053749F"/>
    <w:rsid w:val="005615FF"/>
    <w:rsid w:val="00565554"/>
    <w:rsid w:val="00566D4D"/>
    <w:rsid w:val="00573F5A"/>
    <w:rsid w:val="00592BA7"/>
    <w:rsid w:val="005C17E0"/>
    <w:rsid w:val="005C2277"/>
    <w:rsid w:val="005D20D7"/>
    <w:rsid w:val="005D48B6"/>
    <w:rsid w:val="005E3234"/>
    <w:rsid w:val="005F6A69"/>
    <w:rsid w:val="006012E9"/>
    <w:rsid w:val="00616210"/>
    <w:rsid w:val="00620F5B"/>
    <w:rsid w:val="00621D35"/>
    <w:rsid w:val="00623790"/>
    <w:rsid w:val="00624C38"/>
    <w:rsid w:val="00657C50"/>
    <w:rsid w:val="00660B60"/>
    <w:rsid w:val="0066496B"/>
    <w:rsid w:val="006658C2"/>
    <w:rsid w:val="00671C5A"/>
    <w:rsid w:val="0068129E"/>
    <w:rsid w:val="006868D2"/>
    <w:rsid w:val="006A38B1"/>
    <w:rsid w:val="006F225C"/>
    <w:rsid w:val="006F5E5E"/>
    <w:rsid w:val="00702C4E"/>
    <w:rsid w:val="00721408"/>
    <w:rsid w:val="00731E33"/>
    <w:rsid w:val="00740818"/>
    <w:rsid w:val="00742EF3"/>
    <w:rsid w:val="00747138"/>
    <w:rsid w:val="0075382B"/>
    <w:rsid w:val="00756AB9"/>
    <w:rsid w:val="00770461"/>
    <w:rsid w:val="00777DDA"/>
    <w:rsid w:val="00782BB4"/>
    <w:rsid w:val="007864B3"/>
    <w:rsid w:val="00793326"/>
    <w:rsid w:val="007A6C2C"/>
    <w:rsid w:val="007B069F"/>
    <w:rsid w:val="007D3E8C"/>
    <w:rsid w:val="007E2480"/>
    <w:rsid w:val="007E4A1D"/>
    <w:rsid w:val="007E54EE"/>
    <w:rsid w:val="007F3E18"/>
    <w:rsid w:val="007F51C1"/>
    <w:rsid w:val="0080367C"/>
    <w:rsid w:val="0083170F"/>
    <w:rsid w:val="00836FE5"/>
    <w:rsid w:val="00864C36"/>
    <w:rsid w:val="008724A0"/>
    <w:rsid w:val="008871EC"/>
    <w:rsid w:val="008910DB"/>
    <w:rsid w:val="008949D8"/>
    <w:rsid w:val="008A45D5"/>
    <w:rsid w:val="008B26DB"/>
    <w:rsid w:val="008B2E64"/>
    <w:rsid w:val="008B7C65"/>
    <w:rsid w:val="008C4237"/>
    <w:rsid w:val="008D2632"/>
    <w:rsid w:val="008E2F47"/>
    <w:rsid w:val="008E5818"/>
    <w:rsid w:val="008E5B3D"/>
    <w:rsid w:val="009155B9"/>
    <w:rsid w:val="00920B75"/>
    <w:rsid w:val="00924D13"/>
    <w:rsid w:val="00976865"/>
    <w:rsid w:val="00986296"/>
    <w:rsid w:val="00987583"/>
    <w:rsid w:val="009B3600"/>
    <w:rsid w:val="009C423D"/>
    <w:rsid w:val="009C54A8"/>
    <w:rsid w:val="009D1641"/>
    <w:rsid w:val="009F5D41"/>
    <w:rsid w:val="009F6010"/>
    <w:rsid w:val="00A00280"/>
    <w:rsid w:val="00A17400"/>
    <w:rsid w:val="00A23C86"/>
    <w:rsid w:val="00A26084"/>
    <w:rsid w:val="00A26104"/>
    <w:rsid w:val="00A3511C"/>
    <w:rsid w:val="00A37827"/>
    <w:rsid w:val="00A7353E"/>
    <w:rsid w:val="00A83E44"/>
    <w:rsid w:val="00A90B94"/>
    <w:rsid w:val="00A9354B"/>
    <w:rsid w:val="00A95565"/>
    <w:rsid w:val="00A960B8"/>
    <w:rsid w:val="00AC7B0D"/>
    <w:rsid w:val="00AD19DC"/>
    <w:rsid w:val="00AD228C"/>
    <w:rsid w:val="00AD3C8F"/>
    <w:rsid w:val="00AD566B"/>
    <w:rsid w:val="00B05D72"/>
    <w:rsid w:val="00B21A6F"/>
    <w:rsid w:val="00B41DCA"/>
    <w:rsid w:val="00B53A7E"/>
    <w:rsid w:val="00B71149"/>
    <w:rsid w:val="00B73071"/>
    <w:rsid w:val="00B769B3"/>
    <w:rsid w:val="00B77406"/>
    <w:rsid w:val="00B80177"/>
    <w:rsid w:val="00B82CF4"/>
    <w:rsid w:val="00B9253A"/>
    <w:rsid w:val="00B950E9"/>
    <w:rsid w:val="00BC0EFB"/>
    <w:rsid w:val="00BC117A"/>
    <w:rsid w:val="00BC2C9A"/>
    <w:rsid w:val="00BC388D"/>
    <w:rsid w:val="00BD7C00"/>
    <w:rsid w:val="00BE79A0"/>
    <w:rsid w:val="00BE79A3"/>
    <w:rsid w:val="00C00A7D"/>
    <w:rsid w:val="00C11849"/>
    <w:rsid w:val="00C232A7"/>
    <w:rsid w:val="00C24B0D"/>
    <w:rsid w:val="00C32168"/>
    <w:rsid w:val="00C37A2E"/>
    <w:rsid w:val="00C547BD"/>
    <w:rsid w:val="00C77AAB"/>
    <w:rsid w:val="00C947BE"/>
    <w:rsid w:val="00CC3703"/>
    <w:rsid w:val="00CC6E59"/>
    <w:rsid w:val="00CD5316"/>
    <w:rsid w:val="00D00B50"/>
    <w:rsid w:val="00D16CE5"/>
    <w:rsid w:val="00D1773B"/>
    <w:rsid w:val="00D30A7D"/>
    <w:rsid w:val="00D30EC8"/>
    <w:rsid w:val="00D40B3E"/>
    <w:rsid w:val="00D66DA6"/>
    <w:rsid w:val="00D9363E"/>
    <w:rsid w:val="00DA05E2"/>
    <w:rsid w:val="00DB20AB"/>
    <w:rsid w:val="00DB599C"/>
    <w:rsid w:val="00DC3711"/>
    <w:rsid w:val="00DD2889"/>
    <w:rsid w:val="00DE0BD8"/>
    <w:rsid w:val="00DE10DB"/>
    <w:rsid w:val="00DE588A"/>
    <w:rsid w:val="00E1287C"/>
    <w:rsid w:val="00E226B4"/>
    <w:rsid w:val="00E3569B"/>
    <w:rsid w:val="00E362C0"/>
    <w:rsid w:val="00E66A0F"/>
    <w:rsid w:val="00E81529"/>
    <w:rsid w:val="00E87EA9"/>
    <w:rsid w:val="00EA5024"/>
    <w:rsid w:val="00EB6DBE"/>
    <w:rsid w:val="00EC39C0"/>
    <w:rsid w:val="00EC6E6F"/>
    <w:rsid w:val="00EE131E"/>
    <w:rsid w:val="00EE3387"/>
    <w:rsid w:val="00F021D0"/>
    <w:rsid w:val="00F34072"/>
    <w:rsid w:val="00F40519"/>
    <w:rsid w:val="00F416DD"/>
    <w:rsid w:val="00F453F3"/>
    <w:rsid w:val="00F4608A"/>
    <w:rsid w:val="00F64164"/>
    <w:rsid w:val="00FA5498"/>
    <w:rsid w:val="00FD4787"/>
    <w:rsid w:val="00FD5F3D"/>
    <w:rsid w:val="00FD7EC2"/>
    <w:rsid w:val="00FE3517"/>
    <w:rsid w:val="00FF0E1A"/>
    <w:rsid w:val="00FF6B7A"/>
    <w:rsid w:val="46EE7993"/>
    <w:rsid w:val="57D23135"/>
    <w:rsid w:val="77E4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uiPriority w:val="99"/>
    <w:pPr>
      <w:jc w:val="left"/>
    </w:pPr>
  </w:style>
  <w:style w:type="paragraph" w:styleId="3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1">
    <w:name w:val="图表脚注说明"/>
    <w:basedOn w:val="1"/>
    <w:qFormat/>
    <w:uiPriority w:val="0"/>
    <w:pPr>
      <w:numPr>
        <w:ilvl w:val="0"/>
        <w:numId w:val="1"/>
      </w:numPr>
    </w:pPr>
    <w:rPr>
      <w:rFonts w:ascii="宋体" w:hAnsi="Times New Roman"/>
      <w:sz w:val="18"/>
      <w:szCs w:val="18"/>
    </w:rPr>
  </w:style>
  <w:style w:type="paragraph" w:customStyle="1" w:styleId="12">
    <w:name w:val="正文表标题"/>
    <w:next w:val="1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3">
    <w:name w:val="一级条标题"/>
    <w:next w:val="1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4">
    <w:name w:val="章标题"/>
    <w:next w:val="1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5">
    <w:name w:val="二级条标题"/>
    <w:basedOn w:val="13"/>
    <w:next w:val="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6">
    <w:name w:val="三级条标题"/>
    <w:basedOn w:val="15"/>
    <w:next w:val="1"/>
    <w:qFormat/>
    <w:uiPriority w:val="0"/>
    <w:pPr>
      <w:numPr>
        <w:ilvl w:val="3"/>
      </w:numPr>
      <w:outlineLvl w:val="4"/>
    </w:pPr>
  </w:style>
  <w:style w:type="paragraph" w:customStyle="1" w:styleId="17">
    <w:name w:val="四级条标题"/>
    <w:basedOn w:val="16"/>
    <w:next w:val="1"/>
    <w:qFormat/>
    <w:uiPriority w:val="0"/>
    <w:pPr>
      <w:numPr>
        <w:ilvl w:val="4"/>
      </w:numPr>
      <w:outlineLvl w:val="5"/>
    </w:pPr>
  </w:style>
  <w:style w:type="paragraph" w:customStyle="1" w:styleId="18">
    <w:name w:val="五级条标题"/>
    <w:basedOn w:val="17"/>
    <w:next w:val="1"/>
    <w:qFormat/>
    <w:uiPriority w:val="0"/>
    <w:pPr>
      <w:numPr>
        <w:ilvl w:val="5"/>
      </w:numPr>
      <w:outlineLvl w:val="6"/>
    </w:pPr>
  </w:style>
  <w:style w:type="character" w:customStyle="1" w:styleId="19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脚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批注文字 Char"/>
    <w:basedOn w:val="9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23">
    <w:name w:val="批注主题 Char"/>
    <w:basedOn w:val="22"/>
    <w:link w:val="6"/>
    <w:semiHidden/>
    <w:qFormat/>
    <w:uiPriority w:val="99"/>
    <w:rPr>
      <w:rFonts w:ascii="Calibri" w:hAnsi="Calibri" w:eastAsia="宋体" w:cs="Times New Roman"/>
      <w:b/>
      <w:bCs/>
    </w:rPr>
  </w:style>
  <w:style w:type="paragraph" w:customStyle="1" w:styleId="24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正文图标题"/>
    <w:next w:val="1"/>
    <w:qFormat/>
    <w:uiPriority w:val="0"/>
    <w:pPr>
      <w:numPr>
        <w:ilvl w:val="0"/>
        <w:numId w:val="3"/>
      </w:numPr>
      <w:tabs>
        <w:tab w:val="left" w:pos="360"/>
      </w:tabs>
      <w:spacing w:beforeLines="50" w:afterLines="50"/>
      <w:ind w:left="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26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numPr>
        <w:ilvl w:val="0"/>
        <w:numId w:val="4"/>
      </w:numPr>
      <w:jc w:val="left"/>
    </w:pPr>
    <w:rPr>
      <w:rFonts w:ascii="Times New Roman" w:hAnsi="Times New Roman" w:eastAsia="黑体"/>
      <w:kern w:val="0"/>
      <w:sz w:val="28"/>
      <w:szCs w:val="20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段"/>
    <w:link w:val="2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29">
    <w:name w:val="段 Char"/>
    <w:link w:val="28"/>
    <w:qFormat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130DD-916C-4119-9C5F-17D8CF98AC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22</Pages>
  <Words>8167</Words>
  <Characters>10238</Characters>
  <Lines>151</Lines>
  <Paragraphs>42</Paragraphs>
  <TotalTime>252</TotalTime>
  <ScaleCrop>false</ScaleCrop>
  <LinksUpToDate>false</LinksUpToDate>
  <CharactersWithSpaces>12135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2021-04-23T07:34:00Z</dcterms:created>
  <dc:creator>szc</dc:creator>
  <cp:lastModifiedBy>吴真真</cp:lastModifiedBy>
  <cp:lastPrinted>2021-06-21T04:37:00Z</cp:lastPrinted>
  <dcterms:modified xsi:type="dcterms:W3CDTF">2022-09-26T14:07:29Z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3DC420A4A24142FDA8FEA42FCBD331A7</vt:lpwstr>
  </property>
</Properties>
</file>